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944" w:rsidRDefault="00212944" w:rsidP="00EE41DA">
      <w:pPr>
        <w:jc w:val="center"/>
        <w:rPr>
          <w:rFonts w:ascii="Tahoma" w:hAnsi="Tahoma" w:cs="Tahoma"/>
          <w:b/>
          <w:i/>
          <w:u w:val="single"/>
        </w:rPr>
      </w:pPr>
      <w:bookmarkStart w:id="0" w:name="_GoBack"/>
      <w:r w:rsidRPr="00C63256">
        <w:rPr>
          <w:rFonts w:ascii="Tahoma" w:hAnsi="Tahoma" w:cs="Tahoma"/>
          <w:b/>
          <w:i/>
          <w:u w:val="single"/>
        </w:rPr>
        <w:t xml:space="preserve">Tabla de contenido </w:t>
      </w:r>
      <w:r w:rsidRPr="00C63256">
        <w:rPr>
          <w:rFonts w:ascii="Tahoma" w:hAnsi="Tahoma" w:cs="Tahoma"/>
          <w:b/>
          <w:i/>
          <w:u w:val="single"/>
        </w:rPr>
        <w:br/>
        <w:t>Boletín Ambiental</w:t>
      </w:r>
      <w:r w:rsidRPr="00C63256">
        <w:rPr>
          <w:rFonts w:ascii="Tahoma" w:hAnsi="Tahoma" w:cs="Tahoma"/>
          <w:b/>
          <w:i/>
          <w:u w:val="single"/>
        </w:rPr>
        <w:br/>
      </w:r>
      <w:r>
        <w:rPr>
          <w:rFonts w:ascii="Tahoma" w:hAnsi="Tahoma" w:cs="Tahoma"/>
          <w:b/>
          <w:i/>
          <w:u w:val="single"/>
        </w:rPr>
        <w:t>2020</w:t>
      </w:r>
      <w:r>
        <w:rPr>
          <w:rFonts w:ascii="Tahoma" w:hAnsi="Tahoma" w:cs="Tahoma"/>
          <w:b/>
          <w:i/>
          <w:u w:val="single"/>
        </w:rPr>
        <w:br/>
        <w:t>Aire y Ruido</w:t>
      </w:r>
    </w:p>
    <w:bookmarkEnd w:id="0"/>
    <w:p w:rsidR="00C45970" w:rsidRDefault="00C45970" w:rsidP="00EE41DA">
      <w:pPr>
        <w:jc w:val="center"/>
        <w:rPr>
          <w:rFonts w:ascii="Tahoma" w:hAnsi="Tahoma" w:cs="Tahoma"/>
          <w:b/>
          <w:i/>
          <w:u w:val="single"/>
        </w:rPr>
      </w:pPr>
      <w:r>
        <w:rPr>
          <w:rFonts w:ascii="Tahoma" w:hAnsi="Tahoma" w:cs="Tahoma"/>
          <w:b/>
          <w:i/>
          <w:u w:val="single"/>
        </w:rPr>
        <w:t>14 de abril del 2020</w:t>
      </w:r>
    </w:p>
    <w:p w:rsidR="00EE41DA" w:rsidRDefault="00EE41DA" w:rsidP="00EE41DA">
      <w:pPr>
        <w:jc w:val="center"/>
        <w:rPr>
          <w:rFonts w:ascii="Tahoma" w:hAnsi="Tahoma" w:cs="Tahoma"/>
          <w:b/>
          <w:i/>
          <w:u w:val="single"/>
        </w:rPr>
      </w:pPr>
    </w:p>
    <w:p w:rsidR="00212944" w:rsidRPr="00212944" w:rsidRDefault="00212944" w:rsidP="00EE41DA">
      <w:pPr>
        <w:jc w:val="both"/>
        <w:rPr>
          <w:rFonts w:ascii="Tahoma" w:hAnsi="Tahoma" w:cs="Tahoma"/>
        </w:rPr>
      </w:pPr>
      <w:r w:rsidRPr="00212944">
        <w:rPr>
          <w:rFonts w:ascii="Tahoma" w:hAnsi="Tahoma" w:cs="Tahoma"/>
        </w:rPr>
        <w:t>RESOLUCIÓN NÚMERO No. 518 DEL 14 DE ABRIL DE 2020</w:t>
      </w:r>
    </w:p>
    <w:p w:rsidR="00212944" w:rsidRDefault="00212944" w:rsidP="00EE41DA">
      <w:pPr>
        <w:jc w:val="both"/>
        <w:rPr>
          <w:rFonts w:ascii="Tahoma" w:hAnsi="Tahoma" w:cs="Tahoma"/>
        </w:rPr>
      </w:pPr>
      <w:r w:rsidRPr="00212944">
        <w:rPr>
          <w:rFonts w:ascii="Tahoma" w:hAnsi="Tahoma" w:cs="Tahoma"/>
        </w:rPr>
        <w:t xml:space="preserve">POR MEDIO DE LA CUAL SE MODIFICA LA RESOLUCION N° 1767 DEL 01 DE AGOSTO </w:t>
      </w:r>
    </w:p>
    <w:p w:rsidR="00EE41DA" w:rsidRDefault="00EE41DA" w:rsidP="00EE41DA">
      <w:pPr>
        <w:jc w:val="both"/>
        <w:rPr>
          <w:rFonts w:ascii="Arial" w:hAnsi="Arial" w:cs="Arial"/>
          <w:lang w:eastAsia="es-ES"/>
        </w:rPr>
      </w:pPr>
    </w:p>
    <w:p w:rsidR="00EE41DA" w:rsidRPr="00E73B56" w:rsidRDefault="00EE41DA" w:rsidP="00EE41DA">
      <w:pPr>
        <w:spacing w:after="0" w:line="240" w:lineRule="auto"/>
        <w:jc w:val="both"/>
        <w:rPr>
          <w:rFonts w:ascii="Arial" w:hAnsi="Arial" w:cs="Arial"/>
          <w:b/>
          <w:lang w:val="es-ES"/>
        </w:rPr>
      </w:pPr>
      <w:r w:rsidRPr="00E73B56">
        <w:rPr>
          <w:rFonts w:ascii="Arial" w:hAnsi="Arial" w:cs="Arial"/>
          <w:b/>
          <w:lang w:val="es-ES"/>
        </w:rPr>
        <w:t>DISPONE:</w:t>
      </w:r>
    </w:p>
    <w:p w:rsidR="00EE41DA" w:rsidRPr="00E73B56" w:rsidRDefault="00EE41DA" w:rsidP="00EE41DA">
      <w:pPr>
        <w:spacing w:after="0" w:line="240" w:lineRule="auto"/>
        <w:jc w:val="both"/>
        <w:rPr>
          <w:rFonts w:ascii="Arial" w:hAnsi="Arial" w:cs="Arial"/>
          <w:b/>
          <w:lang w:val="es-ES"/>
        </w:rPr>
      </w:pPr>
    </w:p>
    <w:p w:rsidR="00EE41DA" w:rsidRPr="00E73B56" w:rsidRDefault="00EE41DA" w:rsidP="00EE41DA">
      <w:pPr>
        <w:spacing w:after="0" w:line="240" w:lineRule="auto"/>
        <w:jc w:val="both"/>
        <w:rPr>
          <w:rFonts w:ascii="Arial" w:hAnsi="Arial" w:cs="Arial"/>
          <w:lang w:eastAsia="es-ES"/>
        </w:rPr>
      </w:pPr>
      <w:r w:rsidRPr="00E73B56">
        <w:rPr>
          <w:rFonts w:ascii="Arial" w:hAnsi="Arial" w:cs="Arial"/>
          <w:b/>
          <w:bCs/>
          <w:lang w:val="es-MX" w:eastAsia="es-ES"/>
        </w:rPr>
        <w:t>ARTÍCULO PRIMERO: MODIFICAR EL</w:t>
      </w:r>
      <w:r w:rsidRPr="00E73B56">
        <w:rPr>
          <w:rFonts w:ascii="Arial" w:hAnsi="Arial" w:cs="Arial"/>
          <w:bCs/>
          <w:lang w:val="es-MX" w:eastAsia="es-ES"/>
        </w:rPr>
        <w:t xml:space="preserve"> </w:t>
      </w:r>
      <w:r w:rsidRPr="00E73B56">
        <w:rPr>
          <w:rFonts w:ascii="Arial" w:hAnsi="Arial" w:cs="Arial"/>
          <w:b/>
          <w:bCs/>
          <w:lang w:val="es-MX" w:eastAsia="es-ES"/>
        </w:rPr>
        <w:t>ARTÍCULO PRIMERO</w:t>
      </w:r>
      <w:r w:rsidRPr="00E73B56">
        <w:rPr>
          <w:rFonts w:ascii="Arial" w:hAnsi="Arial" w:cs="Arial"/>
          <w:bCs/>
          <w:lang w:val="es-MX" w:eastAsia="es-ES"/>
        </w:rPr>
        <w:t xml:space="preserve"> de la </w:t>
      </w:r>
      <w:r w:rsidRPr="00E73B56">
        <w:rPr>
          <w:rFonts w:ascii="Arial" w:hAnsi="Arial" w:cs="Arial"/>
          <w:lang w:eastAsia="es-ES"/>
        </w:rPr>
        <w:t xml:space="preserve">Resolución Nro. </w:t>
      </w:r>
      <w:proofErr w:type="gramStart"/>
      <w:r w:rsidRPr="00E73B56">
        <w:rPr>
          <w:rFonts w:ascii="Arial" w:hAnsi="Arial" w:cs="Arial"/>
          <w:lang w:eastAsia="es-ES"/>
        </w:rPr>
        <w:t>1767  del</w:t>
      </w:r>
      <w:proofErr w:type="gramEnd"/>
      <w:r w:rsidRPr="00E73B56">
        <w:rPr>
          <w:rFonts w:ascii="Arial" w:hAnsi="Arial" w:cs="Arial"/>
          <w:lang w:eastAsia="es-ES"/>
        </w:rPr>
        <w:t xml:space="preserve"> 01 de agosto del año 2019, de conformidad con lo señalado en la parte motiva del presente acto administrativo, en el sentido de modificar la dirección, el cual quedará así:</w:t>
      </w:r>
    </w:p>
    <w:p w:rsidR="00EE41DA" w:rsidRPr="00E73B56" w:rsidRDefault="00EE41DA" w:rsidP="00EE41DA">
      <w:pPr>
        <w:spacing w:after="0" w:line="240" w:lineRule="auto"/>
        <w:jc w:val="both"/>
        <w:rPr>
          <w:rFonts w:ascii="Arial" w:hAnsi="Arial" w:cs="Arial"/>
          <w:lang w:eastAsia="es-ES"/>
        </w:rPr>
      </w:pPr>
    </w:p>
    <w:p w:rsidR="00EE41DA" w:rsidRPr="00E73B56" w:rsidRDefault="00EE41DA" w:rsidP="00EE41DA">
      <w:pPr>
        <w:spacing w:after="0" w:line="240" w:lineRule="auto"/>
        <w:jc w:val="both"/>
        <w:rPr>
          <w:rFonts w:ascii="Arial" w:hAnsi="Arial" w:cs="Arial"/>
          <w:bCs/>
          <w:i/>
          <w:lang w:eastAsia="es-ES"/>
        </w:rPr>
      </w:pPr>
      <w:r w:rsidRPr="00E73B56">
        <w:rPr>
          <w:rFonts w:ascii="Arial" w:hAnsi="Arial" w:cs="Arial"/>
          <w:b/>
          <w:bCs/>
          <w:lang w:val="es-MX" w:eastAsia="es-ES"/>
        </w:rPr>
        <w:t>“</w:t>
      </w:r>
      <w:r w:rsidRPr="00E73B56">
        <w:rPr>
          <w:rFonts w:ascii="Arial" w:hAnsi="Arial" w:cs="Arial"/>
          <w:b/>
          <w:bCs/>
          <w:i/>
          <w:lang w:val="es-MX" w:eastAsia="es-ES"/>
        </w:rPr>
        <w:t>ARTÍCULO PRIMERO:</w:t>
      </w:r>
      <w:r w:rsidRPr="00E73B56">
        <w:rPr>
          <w:rFonts w:ascii="Arial" w:hAnsi="Arial" w:cs="Arial"/>
          <w:bCs/>
          <w:i/>
          <w:lang w:val="es-MX" w:eastAsia="es-ES"/>
        </w:rPr>
        <w:t xml:space="preserve"> Renovar por el término de dos (2) años el certificado en materia de revisión de gases al </w:t>
      </w:r>
      <w:r w:rsidRPr="00E73B56">
        <w:rPr>
          <w:rFonts w:ascii="Arial" w:hAnsi="Arial" w:cs="Arial"/>
          <w:b/>
          <w:bCs/>
          <w:i/>
          <w:lang w:val="es-ES_tradnl" w:eastAsia="es-ES"/>
        </w:rPr>
        <w:t xml:space="preserve">CENTRO DE DIAGNOSTICO AUTOMOTOR (CDA) EL DANUBIO S.A.S, </w:t>
      </w:r>
      <w:r w:rsidRPr="00E73B56">
        <w:rPr>
          <w:rFonts w:ascii="Arial" w:hAnsi="Arial" w:cs="Arial"/>
          <w:bCs/>
          <w:i/>
          <w:lang w:val="es-ES_tradnl" w:eastAsia="es-ES"/>
        </w:rPr>
        <w:t xml:space="preserve">identificado con el </w:t>
      </w:r>
      <w:r w:rsidRPr="00E73B56">
        <w:rPr>
          <w:rFonts w:ascii="Arial" w:hAnsi="Arial" w:cs="Arial"/>
          <w:b/>
          <w:bCs/>
          <w:i/>
          <w:lang w:val="es-ES_tradnl" w:eastAsia="es-ES"/>
        </w:rPr>
        <w:t>NIT 900-425</w:t>
      </w:r>
      <w:r>
        <w:rPr>
          <w:rFonts w:ascii="Arial" w:hAnsi="Arial" w:cs="Arial"/>
          <w:b/>
          <w:bCs/>
          <w:i/>
          <w:lang w:val="es-ES_tradnl" w:eastAsia="es-ES"/>
        </w:rPr>
        <w:t>.</w:t>
      </w:r>
      <w:r w:rsidRPr="00E73B56">
        <w:rPr>
          <w:rFonts w:ascii="Arial" w:hAnsi="Arial" w:cs="Arial"/>
          <w:b/>
          <w:bCs/>
          <w:i/>
          <w:lang w:val="es-ES_tradnl" w:eastAsia="es-ES"/>
        </w:rPr>
        <w:t>188-5</w:t>
      </w:r>
      <w:r w:rsidRPr="00E73B56">
        <w:rPr>
          <w:rFonts w:ascii="Arial" w:hAnsi="Arial" w:cs="Arial"/>
          <w:bCs/>
          <w:i/>
          <w:lang w:val="es-ES" w:eastAsia="es-ES"/>
        </w:rPr>
        <w:t xml:space="preserve">, </w:t>
      </w:r>
      <w:r w:rsidRPr="00E73B56">
        <w:rPr>
          <w:rFonts w:ascii="Arial" w:hAnsi="Arial" w:cs="Arial"/>
          <w:bCs/>
          <w:i/>
          <w:lang w:eastAsia="es-ES"/>
        </w:rPr>
        <w:t xml:space="preserve">Representado Legalmente por el señor </w:t>
      </w:r>
      <w:r w:rsidRPr="00E73B56">
        <w:rPr>
          <w:rFonts w:ascii="Arial" w:hAnsi="Arial" w:cs="Arial"/>
          <w:b/>
          <w:bCs/>
          <w:i/>
          <w:lang w:val="es-ES" w:eastAsia="es-ES"/>
        </w:rPr>
        <w:t>JULIO ANDRÉS JIMENEZ CABANAZO,</w:t>
      </w:r>
      <w:r w:rsidRPr="00E73B56">
        <w:rPr>
          <w:rFonts w:ascii="Arial" w:hAnsi="Arial" w:cs="Arial"/>
          <w:bCs/>
          <w:i/>
          <w:lang w:eastAsia="es-ES"/>
        </w:rPr>
        <w:t xml:space="preserve"> identificado con cédula de ciudadanía N° </w:t>
      </w:r>
      <w:r w:rsidRPr="00E73B56">
        <w:rPr>
          <w:rFonts w:ascii="Arial" w:hAnsi="Arial" w:cs="Arial"/>
          <w:bCs/>
          <w:i/>
          <w:lang w:val="es-ES_tradnl" w:eastAsia="es-ES"/>
        </w:rPr>
        <w:t>86.051.056</w:t>
      </w:r>
      <w:r w:rsidRPr="00E73B56">
        <w:rPr>
          <w:rFonts w:ascii="Arial" w:hAnsi="Arial" w:cs="Arial"/>
          <w:bCs/>
          <w:i/>
          <w:lang w:eastAsia="es-ES"/>
        </w:rPr>
        <w:t>, expedida en Villavicencio, para operar como centro de diagnóstico automotor clase D, en el establecimiento comercial ubicado en la calle 51 No.6-170, calle 51 No. 6-202, calle 51 No. 6-212 ;</w:t>
      </w:r>
      <w:r w:rsidRPr="00E73B56">
        <w:rPr>
          <w:rFonts w:ascii="Arial" w:hAnsi="Arial" w:cs="Arial"/>
          <w:bCs/>
          <w:i/>
          <w:lang w:val="es-ES_tradnl" w:eastAsia="es-ES"/>
        </w:rPr>
        <w:t xml:space="preserve"> </w:t>
      </w:r>
      <w:r w:rsidRPr="00E73B56">
        <w:rPr>
          <w:rFonts w:ascii="Arial" w:hAnsi="Arial" w:cs="Arial"/>
          <w:bCs/>
          <w:i/>
          <w:lang w:val="es-MX" w:eastAsia="es-ES"/>
        </w:rPr>
        <w:t xml:space="preserve">a que hace referencia el </w:t>
      </w:r>
      <w:r w:rsidRPr="00E73B56">
        <w:rPr>
          <w:rFonts w:ascii="Arial" w:hAnsi="Arial" w:cs="Arial"/>
          <w:bCs/>
          <w:i/>
          <w:lang w:eastAsia="es-ES"/>
        </w:rPr>
        <w:t>literal e) del artículo </w:t>
      </w:r>
      <w:hyperlink r:id="rId5" w:anchor="6" w:history="1">
        <w:r w:rsidRPr="00E73B56">
          <w:rPr>
            <w:rStyle w:val="Hipervnculo"/>
            <w:rFonts w:ascii="Arial" w:hAnsi="Arial" w:cs="Arial"/>
            <w:bCs/>
            <w:i/>
            <w:lang w:eastAsia="es-ES"/>
          </w:rPr>
          <w:t>6°</w:t>
        </w:r>
      </w:hyperlink>
      <w:r w:rsidRPr="00E73B56">
        <w:rPr>
          <w:rFonts w:ascii="Arial" w:hAnsi="Arial" w:cs="Arial"/>
          <w:bCs/>
          <w:i/>
          <w:lang w:eastAsia="es-ES"/>
        </w:rPr>
        <w:t> de la Resolución 3500 de 2005” expedida por el Ministerio de Ambiente y Desarrollo Sostenible.</w:t>
      </w:r>
    </w:p>
    <w:p w:rsidR="00EE41DA" w:rsidRPr="00E73B56" w:rsidRDefault="00EE41DA" w:rsidP="00EE41DA">
      <w:pPr>
        <w:spacing w:after="0" w:line="240" w:lineRule="auto"/>
        <w:jc w:val="both"/>
        <w:rPr>
          <w:rFonts w:ascii="Arial" w:hAnsi="Arial" w:cs="Arial"/>
          <w:bCs/>
          <w:i/>
          <w:lang w:eastAsia="es-ES"/>
        </w:rPr>
      </w:pPr>
    </w:p>
    <w:p w:rsidR="00EE41DA" w:rsidRPr="00E73B56" w:rsidRDefault="00EE41DA" w:rsidP="00EE41DA">
      <w:pPr>
        <w:spacing w:after="0" w:line="240" w:lineRule="auto"/>
        <w:jc w:val="both"/>
        <w:rPr>
          <w:rFonts w:ascii="Arial" w:hAnsi="Arial" w:cs="Arial"/>
          <w:lang w:eastAsia="es-ES"/>
        </w:rPr>
      </w:pPr>
      <w:r w:rsidRPr="00E73B56">
        <w:rPr>
          <w:rFonts w:ascii="Arial" w:hAnsi="Arial" w:cs="Arial"/>
          <w:b/>
          <w:bCs/>
          <w:lang w:val="es-MX" w:eastAsia="es-ES"/>
        </w:rPr>
        <w:t>ARTÍCULO SEGUNDO: MODIFICAR EL ARTÍCULO SEGUNDO</w:t>
      </w:r>
      <w:r w:rsidRPr="00E73B56">
        <w:rPr>
          <w:rFonts w:ascii="Arial" w:hAnsi="Arial" w:cs="Arial"/>
          <w:bCs/>
          <w:lang w:val="es-MX" w:eastAsia="es-ES"/>
        </w:rPr>
        <w:t xml:space="preserve"> de la </w:t>
      </w:r>
      <w:r w:rsidRPr="00E73B56">
        <w:rPr>
          <w:rFonts w:ascii="Arial" w:hAnsi="Arial" w:cs="Arial"/>
          <w:lang w:eastAsia="es-ES"/>
        </w:rPr>
        <w:t>Resolución Nro. 1767 del 01 de agosto del año 2019, de conformidad con lo señalado en la parte motiva del presente acto administrativo, en el sentido de modificar la razón social, el cual quedará así:</w:t>
      </w:r>
    </w:p>
    <w:p w:rsidR="00EE41DA" w:rsidRPr="00E73B56" w:rsidRDefault="00EE41DA" w:rsidP="00EE41DA">
      <w:pPr>
        <w:tabs>
          <w:tab w:val="left" w:pos="1400"/>
          <w:tab w:val="left" w:pos="9356"/>
        </w:tabs>
        <w:spacing w:after="0" w:line="240" w:lineRule="auto"/>
        <w:ind w:right="48"/>
        <w:jc w:val="both"/>
        <w:rPr>
          <w:rFonts w:ascii="Arial" w:hAnsi="Arial" w:cs="Arial"/>
          <w:b/>
          <w:bCs/>
          <w:lang w:eastAsia="es-ES"/>
        </w:rPr>
      </w:pPr>
    </w:p>
    <w:p w:rsidR="00EE41DA" w:rsidRPr="00E73B56" w:rsidRDefault="00EE41DA" w:rsidP="00EE41DA">
      <w:pPr>
        <w:tabs>
          <w:tab w:val="left" w:pos="1400"/>
          <w:tab w:val="left" w:pos="9356"/>
        </w:tabs>
        <w:spacing w:after="0" w:line="240" w:lineRule="auto"/>
        <w:ind w:right="48"/>
        <w:jc w:val="both"/>
        <w:rPr>
          <w:rFonts w:ascii="Arial" w:hAnsi="Arial" w:cs="Arial"/>
          <w:b/>
          <w:bCs/>
          <w:i/>
          <w:lang w:eastAsia="es-ES"/>
        </w:rPr>
      </w:pPr>
      <w:r w:rsidRPr="00E73B56">
        <w:rPr>
          <w:rFonts w:ascii="Arial" w:hAnsi="Arial" w:cs="Arial"/>
          <w:b/>
          <w:bCs/>
          <w:lang w:val="es-MX" w:eastAsia="es-ES"/>
        </w:rPr>
        <w:t>“</w:t>
      </w:r>
      <w:r w:rsidRPr="00E73B56">
        <w:rPr>
          <w:rFonts w:ascii="Arial" w:hAnsi="Arial" w:cs="Arial"/>
          <w:b/>
          <w:bCs/>
          <w:i/>
          <w:lang w:val="es-MX" w:eastAsia="es-ES"/>
        </w:rPr>
        <w:t xml:space="preserve">ARTÍCULO SEGUNDO: </w:t>
      </w:r>
      <w:r w:rsidRPr="00E73B56">
        <w:rPr>
          <w:rFonts w:ascii="Arial" w:hAnsi="Arial" w:cs="Arial"/>
          <w:bCs/>
          <w:i/>
          <w:lang w:val="es-MX" w:eastAsia="es-ES"/>
        </w:rPr>
        <w:t xml:space="preserve">Se autorizan los siguientes equipos, los cuales se localizan en el </w:t>
      </w:r>
      <w:r w:rsidRPr="00E73B56">
        <w:rPr>
          <w:rFonts w:ascii="Arial" w:hAnsi="Arial" w:cs="Arial"/>
          <w:bCs/>
          <w:i/>
          <w:lang w:eastAsia="es-ES"/>
        </w:rPr>
        <w:t xml:space="preserve">establecimiento comercial </w:t>
      </w:r>
      <w:r w:rsidRPr="00E73B56">
        <w:rPr>
          <w:rFonts w:ascii="Arial" w:hAnsi="Arial" w:cs="Arial"/>
          <w:bCs/>
          <w:i/>
          <w:lang w:val="es-ES_tradnl" w:eastAsia="es-ES"/>
        </w:rPr>
        <w:t>CENTRO DE DIAGNOSTICO AUTOMOTOR (CDA) EL DANUBIO S.A.S</w:t>
      </w:r>
      <w:r w:rsidRPr="00E73B56">
        <w:rPr>
          <w:rFonts w:ascii="Arial" w:hAnsi="Arial" w:cs="Arial"/>
          <w:bCs/>
          <w:i/>
          <w:lang w:eastAsia="es-ES"/>
        </w:rPr>
        <w:t xml:space="preserve"> ubicado en la calle 51 No. 6-170, calle 51 No. 6-202, calle 51 No. 6-212 área urbana del municipio de Armenia: (ver cuadro):</w:t>
      </w:r>
    </w:p>
    <w:p w:rsidR="00EE41DA" w:rsidRPr="00E73B56" w:rsidRDefault="00EE41DA" w:rsidP="00EE41DA">
      <w:pPr>
        <w:tabs>
          <w:tab w:val="left" w:pos="1400"/>
          <w:tab w:val="left" w:pos="9356"/>
        </w:tabs>
        <w:spacing w:after="0" w:line="240" w:lineRule="auto"/>
        <w:ind w:right="48"/>
        <w:jc w:val="both"/>
        <w:rPr>
          <w:rFonts w:ascii="Arial" w:hAnsi="Arial" w:cs="Arial"/>
          <w:bCs/>
        </w:rPr>
      </w:pPr>
    </w:p>
    <w:tbl>
      <w:tblPr>
        <w:tblW w:w="5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1500"/>
        <w:gridCol w:w="928"/>
        <w:gridCol w:w="1375"/>
      </w:tblGrid>
      <w:tr w:rsidR="00EE41DA" w:rsidRPr="00E73B56" w:rsidTr="00EE41DA">
        <w:trPr>
          <w:trHeight w:val="184"/>
          <w:jc w:val="center"/>
        </w:trPr>
        <w:tc>
          <w:tcPr>
            <w:tcW w:w="1459" w:type="dxa"/>
            <w:shd w:val="clear" w:color="auto" w:fill="auto"/>
          </w:tcPr>
          <w:p w:rsidR="00EE41DA" w:rsidRPr="00E73B56" w:rsidRDefault="00EE41DA" w:rsidP="00EE41DA">
            <w:pPr>
              <w:tabs>
                <w:tab w:val="left" w:pos="1400"/>
                <w:tab w:val="left" w:pos="9356"/>
              </w:tabs>
              <w:spacing w:after="0" w:line="240" w:lineRule="auto"/>
              <w:ind w:right="48"/>
              <w:jc w:val="both"/>
              <w:rPr>
                <w:rFonts w:ascii="Arial" w:hAnsi="Arial" w:cs="Arial"/>
                <w:b/>
                <w:bCs/>
                <w:sz w:val="20"/>
                <w:szCs w:val="20"/>
                <w:lang w:eastAsia="es-ES"/>
              </w:rPr>
            </w:pPr>
            <w:r w:rsidRPr="00E73B56">
              <w:rPr>
                <w:rFonts w:ascii="Arial" w:hAnsi="Arial" w:cs="Arial"/>
                <w:b/>
                <w:bCs/>
                <w:sz w:val="20"/>
                <w:szCs w:val="20"/>
                <w:lang w:eastAsia="es-ES"/>
              </w:rPr>
              <w:t>NOMBRE</w:t>
            </w:r>
          </w:p>
        </w:tc>
        <w:tc>
          <w:tcPr>
            <w:tcW w:w="1500" w:type="dxa"/>
          </w:tcPr>
          <w:p w:rsidR="00EE41DA" w:rsidRPr="00E73B56" w:rsidRDefault="00EE41DA" w:rsidP="00EE41DA">
            <w:pPr>
              <w:tabs>
                <w:tab w:val="left" w:pos="1400"/>
                <w:tab w:val="left" w:pos="9356"/>
              </w:tabs>
              <w:spacing w:after="0" w:line="240" w:lineRule="auto"/>
              <w:ind w:right="48"/>
              <w:jc w:val="both"/>
              <w:rPr>
                <w:rFonts w:ascii="Arial" w:hAnsi="Arial" w:cs="Arial"/>
                <w:b/>
                <w:bCs/>
                <w:sz w:val="20"/>
                <w:szCs w:val="20"/>
                <w:lang w:eastAsia="es-ES"/>
              </w:rPr>
            </w:pPr>
            <w:r w:rsidRPr="00E73B56">
              <w:rPr>
                <w:rFonts w:ascii="Arial" w:hAnsi="Arial" w:cs="Arial"/>
                <w:b/>
                <w:bCs/>
                <w:sz w:val="20"/>
                <w:szCs w:val="20"/>
                <w:lang w:eastAsia="es-ES"/>
              </w:rPr>
              <w:t xml:space="preserve">MARCA </w:t>
            </w:r>
          </w:p>
        </w:tc>
        <w:tc>
          <w:tcPr>
            <w:tcW w:w="928" w:type="dxa"/>
          </w:tcPr>
          <w:p w:rsidR="00EE41DA" w:rsidRPr="00E73B56" w:rsidRDefault="00EE41DA" w:rsidP="00EE41DA">
            <w:pPr>
              <w:tabs>
                <w:tab w:val="left" w:pos="1400"/>
                <w:tab w:val="left" w:pos="9356"/>
              </w:tabs>
              <w:spacing w:after="0" w:line="240" w:lineRule="auto"/>
              <w:ind w:right="48"/>
              <w:jc w:val="both"/>
              <w:rPr>
                <w:rFonts w:ascii="Arial" w:hAnsi="Arial" w:cs="Arial"/>
                <w:b/>
                <w:bCs/>
                <w:sz w:val="20"/>
                <w:szCs w:val="20"/>
                <w:lang w:eastAsia="es-ES"/>
              </w:rPr>
            </w:pPr>
            <w:r w:rsidRPr="00E73B56">
              <w:rPr>
                <w:rFonts w:ascii="Arial" w:hAnsi="Arial" w:cs="Arial"/>
                <w:b/>
                <w:bCs/>
                <w:sz w:val="20"/>
                <w:szCs w:val="20"/>
                <w:lang w:eastAsia="es-ES"/>
              </w:rPr>
              <w:t>N° SERIE</w:t>
            </w:r>
          </w:p>
        </w:tc>
        <w:tc>
          <w:tcPr>
            <w:tcW w:w="1375" w:type="dxa"/>
          </w:tcPr>
          <w:p w:rsidR="00EE41DA" w:rsidRPr="00E73B56" w:rsidRDefault="00EE41DA" w:rsidP="00EE41DA">
            <w:pPr>
              <w:tabs>
                <w:tab w:val="left" w:pos="1400"/>
                <w:tab w:val="left" w:pos="9356"/>
              </w:tabs>
              <w:spacing w:after="0" w:line="240" w:lineRule="auto"/>
              <w:ind w:right="48"/>
              <w:jc w:val="both"/>
              <w:rPr>
                <w:rFonts w:ascii="Arial" w:hAnsi="Arial" w:cs="Arial"/>
                <w:b/>
                <w:bCs/>
                <w:sz w:val="20"/>
                <w:szCs w:val="20"/>
                <w:lang w:eastAsia="es-ES"/>
              </w:rPr>
            </w:pPr>
            <w:r w:rsidRPr="00E73B56">
              <w:rPr>
                <w:rFonts w:ascii="Arial" w:hAnsi="Arial" w:cs="Arial"/>
                <w:b/>
                <w:bCs/>
                <w:sz w:val="20"/>
                <w:szCs w:val="20"/>
                <w:lang w:eastAsia="es-ES"/>
              </w:rPr>
              <w:t xml:space="preserve">MODELOS </w:t>
            </w:r>
          </w:p>
        </w:tc>
      </w:tr>
      <w:tr w:rsidR="00EE41DA" w:rsidRPr="00E73B56" w:rsidTr="00EE41DA">
        <w:trPr>
          <w:trHeight w:val="198"/>
          <w:jc w:val="center"/>
        </w:trPr>
        <w:tc>
          <w:tcPr>
            <w:tcW w:w="1459" w:type="dxa"/>
            <w:shd w:val="clear" w:color="auto" w:fill="auto"/>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Analizador Gases</w:t>
            </w:r>
          </w:p>
        </w:tc>
        <w:tc>
          <w:tcPr>
            <w:tcW w:w="1500"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TECMA</w:t>
            </w:r>
          </w:p>
        </w:tc>
        <w:tc>
          <w:tcPr>
            <w:tcW w:w="928"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1112</w:t>
            </w:r>
          </w:p>
        </w:tc>
        <w:tc>
          <w:tcPr>
            <w:tcW w:w="1375"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TE-2012-AGO</w:t>
            </w:r>
          </w:p>
        </w:tc>
      </w:tr>
      <w:tr w:rsidR="00EE41DA" w:rsidRPr="00E73B56" w:rsidTr="00EE41DA">
        <w:trPr>
          <w:trHeight w:val="383"/>
          <w:jc w:val="center"/>
        </w:trPr>
        <w:tc>
          <w:tcPr>
            <w:tcW w:w="1459" w:type="dxa"/>
            <w:shd w:val="clear" w:color="auto" w:fill="auto"/>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Analizador Gases 4T</w:t>
            </w:r>
          </w:p>
        </w:tc>
        <w:tc>
          <w:tcPr>
            <w:tcW w:w="1500"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TECNMA</w:t>
            </w:r>
          </w:p>
        </w:tc>
        <w:tc>
          <w:tcPr>
            <w:tcW w:w="928"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1114</w:t>
            </w:r>
          </w:p>
        </w:tc>
        <w:tc>
          <w:tcPr>
            <w:tcW w:w="1375"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TE-2012-AGOT 4</w:t>
            </w:r>
          </w:p>
        </w:tc>
      </w:tr>
      <w:tr w:rsidR="00EE41DA" w:rsidRPr="00E73B56" w:rsidTr="00EE41DA">
        <w:trPr>
          <w:trHeight w:val="396"/>
          <w:jc w:val="center"/>
        </w:trPr>
        <w:tc>
          <w:tcPr>
            <w:tcW w:w="1459" w:type="dxa"/>
            <w:shd w:val="clear" w:color="auto" w:fill="auto"/>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Analizador Gases 2T</w:t>
            </w:r>
          </w:p>
        </w:tc>
        <w:tc>
          <w:tcPr>
            <w:tcW w:w="1500"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TECNMA</w:t>
            </w:r>
          </w:p>
        </w:tc>
        <w:tc>
          <w:tcPr>
            <w:tcW w:w="928"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1113</w:t>
            </w:r>
          </w:p>
        </w:tc>
        <w:tc>
          <w:tcPr>
            <w:tcW w:w="1375"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TE-2012-AGOT 2</w:t>
            </w:r>
          </w:p>
        </w:tc>
      </w:tr>
      <w:tr w:rsidR="00EE41DA" w:rsidRPr="00E73B56" w:rsidTr="00EE41DA">
        <w:trPr>
          <w:trHeight w:val="383"/>
          <w:jc w:val="center"/>
        </w:trPr>
        <w:tc>
          <w:tcPr>
            <w:tcW w:w="1459" w:type="dxa"/>
            <w:shd w:val="clear" w:color="auto" w:fill="auto"/>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Opacímetro</w:t>
            </w:r>
          </w:p>
        </w:tc>
        <w:tc>
          <w:tcPr>
            <w:tcW w:w="1500"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TECNMA (CAPELEC)</w:t>
            </w:r>
          </w:p>
        </w:tc>
        <w:tc>
          <w:tcPr>
            <w:tcW w:w="928"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5728</w:t>
            </w:r>
          </w:p>
        </w:tc>
        <w:tc>
          <w:tcPr>
            <w:tcW w:w="1375"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V.2.0</w:t>
            </w:r>
          </w:p>
        </w:tc>
      </w:tr>
      <w:tr w:rsidR="00EE41DA" w:rsidRPr="00E73B56" w:rsidTr="00EE41DA">
        <w:trPr>
          <w:trHeight w:val="198"/>
          <w:jc w:val="center"/>
        </w:trPr>
        <w:tc>
          <w:tcPr>
            <w:tcW w:w="1459" w:type="dxa"/>
            <w:shd w:val="clear" w:color="auto" w:fill="auto"/>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Sonómetro</w:t>
            </w:r>
          </w:p>
        </w:tc>
        <w:tc>
          <w:tcPr>
            <w:tcW w:w="1500"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AZ</w:t>
            </w:r>
          </w:p>
        </w:tc>
        <w:tc>
          <w:tcPr>
            <w:tcW w:w="928"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31244343</w:t>
            </w:r>
          </w:p>
        </w:tc>
        <w:tc>
          <w:tcPr>
            <w:tcW w:w="1375"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8922</w:t>
            </w:r>
          </w:p>
        </w:tc>
      </w:tr>
      <w:tr w:rsidR="00EE41DA" w:rsidRPr="00E73B56" w:rsidTr="00EE41DA">
        <w:trPr>
          <w:trHeight w:val="184"/>
          <w:jc w:val="center"/>
        </w:trPr>
        <w:tc>
          <w:tcPr>
            <w:tcW w:w="1459" w:type="dxa"/>
            <w:shd w:val="clear" w:color="auto" w:fill="auto"/>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Sonómetro</w:t>
            </w:r>
          </w:p>
        </w:tc>
        <w:tc>
          <w:tcPr>
            <w:tcW w:w="1500"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AZ</w:t>
            </w:r>
          </w:p>
        </w:tc>
        <w:tc>
          <w:tcPr>
            <w:tcW w:w="928"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3127216</w:t>
            </w:r>
          </w:p>
        </w:tc>
        <w:tc>
          <w:tcPr>
            <w:tcW w:w="1375"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8922</w:t>
            </w:r>
          </w:p>
        </w:tc>
      </w:tr>
      <w:tr w:rsidR="00EE41DA" w:rsidRPr="00E73B56" w:rsidTr="00EE41DA">
        <w:trPr>
          <w:trHeight w:val="198"/>
          <w:jc w:val="center"/>
        </w:trPr>
        <w:tc>
          <w:tcPr>
            <w:tcW w:w="1459" w:type="dxa"/>
            <w:shd w:val="clear" w:color="auto" w:fill="auto"/>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Termo higrómetro</w:t>
            </w:r>
          </w:p>
        </w:tc>
        <w:tc>
          <w:tcPr>
            <w:tcW w:w="1500"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EXTECH</w:t>
            </w:r>
          </w:p>
        </w:tc>
        <w:tc>
          <w:tcPr>
            <w:tcW w:w="928"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Q669122</w:t>
            </w:r>
          </w:p>
        </w:tc>
        <w:tc>
          <w:tcPr>
            <w:tcW w:w="1375"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SD500</w:t>
            </w:r>
          </w:p>
        </w:tc>
      </w:tr>
      <w:tr w:rsidR="00EE41DA" w:rsidRPr="00E73B56" w:rsidTr="00EE41DA">
        <w:trPr>
          <w:trHeight w:val="383"/>
          <w:jc w:val="center"/>
        </w:trPr>
        <w:tc>
          <w:tcPr>
            <w:tcW w:w="1459" w:type="dxa"/>
            <w:shd w:val="clear" w:color="auto" w:fill="auto"/>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Termo higrómetro</w:t>
            </w:r>
          </w:p>
        </w:tc>
        <w:tc>
          <w:tcPr>
            <w:tcW w:w="1500"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lang w:eastAsia="es-ES"/>
              </w:rPr>
              <w:t>TECNIMAQ</w:t>
            </w:r>
          </w:p>
        </w:tc>
        <w:tc>
          <w:tcPr>
            <w:tcW w:w="928"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E73B56">
              <w:rPr>
                <w:rFonts w:ascii="Arial" w:hAnsi="Arial" w:cs="Arial"/>
                <w:bCs/>
                <w:sz w:val="20"/>
                <w:szCs w:val="20"/>
              </w:rPr>
              <w:t>TMI-THM 0535</w:t>
            </w:r>
          </w:p>
        </w:tc>
        <w:tc>
          <w:tcPr>
            <w:tcW w:w="1375" w:type="dxa"/>
          </w:tcPr>
          <w:p w:rsidR="00EE41DA" w:rsidRPr="00E73B56" w:rsidRDefault="00EE41DA" w:rsidP="00EE41DA">
            <w:pPr>
              <w:tabs>
                <w:tab w:val="left" w:pos="1400"/>
                <w:tab w:val="left" w:pos="9356"/>
              </w:tabs>
              <w:spacing w:after="0" w:line="240" w:lineRule="auto"/>
              <w:ind w:right="48"/>
              <w:jc w:val="both"/>
              <w:rPr>
                <w:rFonts w:ascii="Arial" w:hAnsi="Arial" w:cs="Arial"/>
                <w:bCs/>
                <w:sz w:val="20"/>
                <w:szCs w:val="20"/>
                <w:lang w:eastAsia="es-ES"/>
              </w:rPr>
            </w:pPr>
            <w:r w:rsidRPr="008265AF">
              <w:rPr>
                <w:rFonts w:ascii="Arial" w:hAnsi="Arial" w:cs="Arial"/>
                <w:bCs/>
                <w:sz w:val="20"/>
                <w:szCs w:val="20"/>
                <w:lang w:eastAsia="es-ES"/>
              </w:rPr>
              <w:t>TMI</w:t>
            </w:r>
          </w:p>
        </w:tc>
      </w:tr>
    </w:tbl>
    <w:p w:rsidR="00EE41DA" w:rsidRPr="00E73B56" w:rsidRDefault="00EE41DA" w:rsidP="00EE41DA">
      <w:pPr>
        <w:tabs>
          <w:tab w:val="left" w:pos="1400"/>
          <w:tab w:val="left" w:pos="9356"/>
        </w:tabs>
        <w:spacing w:after="0" w:line="240" w:lineRule="auto"/>
        <w:ind w:right="48"/>
        <w:jc w:val="both"/>
        <w:rPr>
          <w:rFonts w:ascii="Arial" w:hAnsi="Arial" w:cs="Arial"/>
          <w:b/>
          <w:bCs/>
          <w:lang w:eastAsia="es-ES"/>
        </w:rPr>
      </w:pPr>
    </w:p>
    <w:p w:rsidR="00EE41DA" w:rsidRPr="00E73B56" w:rsidRDefault="00EE41DA" w:rsidP="00EE41DA">
      <w:pPr>
        <w:tabs>
          <w:tab w:val="left" w:pos="1400"/>
          <w:tab w:val="left" w:pos="9356"/>
        </w:tabs>
        <w:spacing w:after="0" w:line="240" w:lineRule="auto"/>
        <w:ind w:right="48"/>
        <w:jc w:val="both"/>
        <w:rPr>
          <w:rFonts w:ascii="Arial" w:hAnsi="Arial" w:cs="Arial"/>
          <w:b/>
          <w:bCs/>
          <w:lang w:eastAsia="es-ES"/>
        </w:rPr>
      </w:pPr>
    </w:p>
    <w:p w:rsidR="00EE41DA" w:rsidRPr="00E73B56" w:rsidRDefault="00EE41DA" w:rsidP="00EE41DA">
      <w:pPr>
        <w:tabs>
          <w:tab w:val="left" w:pos="1400"/>
          <w:tab w:val="left" w:pos="9356"/>
        </w:tabs>
        <w:spacing w:after="0" w:line="240" w:lineRule="auto"/>
        <w:ind w:right="48"/>
        <w:jc w:val="both"/>
        <w:rPr>
          <w:rFonts w:ascii="Arial" w:hAnsi="Arial" w:cs="Arial"/>
          <w:bCs/>
          <w:lang w:val="es-MX" w:eastAsia="es-ES"/>
        </w:rPr>
      </w:pPr>
      <w:r w:rsidRPr="00E73B56">
        <w:rPr>
          <w:rFonts w:ascii="Arial" w:hAnsi="Arial" w:cs="Arial"/>
          <w:b/>
          <w:bCs/>
          <w:lang w:val="es-MX" w:eastAsia="es-ES"/>
        </w:rPr>
        <w:t xml:space="preserve">ARTÍCULO </w:t>
      </w:r>
      <w:r w:rsidRPr="00E73B56">
        <w:rPr>
          <w:rFonts w:ascii="Arial" w:hAnsi="Arial" w:cs="Arial"/>
          <w:b/>
          <w:bCs/>
          <w:lang w:eastAsia="es-ES"/>
        </w:rPr>
        <w:t>TERCERO</w:t>
      </w:r>
      <w:r w:rsidRPr="00E73B56">
        <w:rPr>
          <w:rFonts w:ascii="Arial" w:hAnsi="Arial" w:cs="Arial"/>
          <w:bCs/>
          <w:lang w:val="es-MX" w:eastAsia="es-ES"/>
        </w:rPr>
        <w:t xml:space="preserve">: Los demás términos y condiciones de la </w:t>
      </w:r>
      <w:r w:rsidRPr="00E73B56">
        <w:rPr>
          <w:rFonts w:ascii="Arial" w:hAnsi="Arial" w:cs="Arial"/>
          <w:lang w:eastAsia="es-ES"/>
        </w:rPr>
        <w:t xml:space="preserve">Resolución 1767 del 08 de agosto del año 2019, </w:t>
      </w:r>
      <w:r w:rsidRPr="00E73B56">
        <w:rPr>
          <w:rFonts w:ascii="Arial" w:eastAsia="Times New Roman" w:hAnsi="Arial" w:cs="Arial"/>
          <w:lang w:val="es-ES" w:eastAsia="es-ES"/>
        </w:rPr>
        <w:t xml:space="preserve">expedida por la Subdirección de Regulación y Control Ambiental de la </w:t>
      </w:r>
      <w:r w:rsidRPr="00E73B56">
        <w:rPr>
          <w:rFonts w:ascii="Arial" w:eastAsia="Times New Roman" w:hAnsi="Arial" w:cs="Arial"/>
          <w:b/>
          <w:bCs/>
          <w:lang w:val="es-ES" w:eastAsia="es-ES"/>
        </w:rPr>
        <w:t>CORPORACIÓN AUTÓNOMA REGIONAL DEL QUINDÍO C.R.Q</w:t>
      </w:r>
      <w:r w:rsidRPr="00E73B56">
        <w:rPr>
          <w:rFonts w:ascii="Arial" w:hAnsi="Arial" w:cs="Arial"/>
          <w:bCs/>
          <w:lang w:val="es-MX" w:eastAsia="es-ES"/>
        </w:rPr>
        <w:t xml:space="preserve"> continúan vigentes.</w:t>
      </w:r>
    </w:p>
    <w:p w:rsidR="00EE41DA" w:rsidRPr="00E73B56" w:rsidRDefault="00EE41DA" w:rsidP="00EE41DA">
      <w:pPr>
        <w:tabs>
          <w:tab w:val="left" w:pos="1400"/>
        </w:tabs>
        <w:spacing w:after="0" w:line="240" w:lineRule="auto"/>
        <w:jc w:val="both"/>
        <w:rPr>
          <w:rFonts w:ascii="Arial" w:hAnsi="Arial" w:cs="Arial"/>
          <w:b/>
          <w:bCs/>
          <w:lang w:val="es-MX" w:eastAsia="es-ES"/>
        </w:rPr>
      </w:pPr>
    </w:p>
    <w:p w:rsidR="00EE41DA" w:rsidRPr="000932F5" w:rsidRDefault="00EE41DA" w:rsidP="00EE41DA">
      <w:pPr>
        <w:tabs>
          <w:tab w:val="left" w:pos="1400"/>
        </w:tabs>
        <w:spacing w:after="0" w:line="240" w:lineRule="auto"/>
        <w:jc w:val="both"/>
        <w:rPr>
          <w:rFonts w:ascii="Arial" w:hAnsi="Arial" w:cs="Arial"/>
          <w:lang w:eastAsia="es-ES"/>
        </w:rPr>
      </w:pPr>
      <w:r w:rsidRPr="00E73B56">
        <w:rPr>
          <w:rFonts w:ascii="Arial" w:hAnsi="Arial" w:cs="Arial"/>
          <w:b/>
          <w:bCs/>
          <w:lang w:val="es-MX" w:eastAsia="es-ES"/>
        </w:rPr>
        <w:t>ARTÍCULO</w:t>
      </w:r>
      <w:r w:rsidRPr="00E73B56">
        <w:rPr>
          <w:rFonts w:ascii="Arial" w:hAnsi="Arial" w:cs="Arial"/>
          <w:b/>
          <w:bCs/>
          <w:lang w:eastAsia="es-ES"/>
        </w:rPr>
        <w:t xml:space="preserve"> OCTAVO</w:t>
      </w:r>
      <w:r w:rsidRPr="00E73B56">
        <w:rPr>
          <w:rFonts w:ascii="Arial" w:hAnsi="Arial" w:cs="Arial"/>
          <w:lang w:eastAsia="es-ES"/>
        </w:rPr>
        <w:t xml:space="preserve">: El encabezado y la parte resolutiva de la presente Resolución, deberá ser publicada en el boletín ambiental de la Corporación Autónoma Regional del Quindío - C.R.Q, a costa del interesado, de conformidad con el artículo 71 de la ley 99 de 1993 y </w:t>
      </w:r>
      <w:r w:rsidRPr="00E73B56">
        <w:rPr>
          <w:rFonts w:ascii="Arial" w:hAnsi="Arial" w:cs="Arial"/>
        </w:rPr>
        <w:t>Resolución 1500 del 28 de junio de 2019</w:t>
      </w:r>
      <w:r w:rsidRPr="00E73B56">
        <w:rPr>
          <w:rFonts w:ascii="Arial" w:hAnsi="Arial" w:cs="Arial"/>
          <w:lang w:eastAsia="es-ES"/>
        </w:rPr>
        <w:t xml:space="preserve">, emanada de la Dirección General de la CRQ, </w:t>
      </w:r>
      <w:r>
        <w:rPr>
          <w:rFonts w:ascii="Arial" w:hAnsi="Arial" w:cs="Arial"/>
          <w:lang w:eastAsia="es-ES"/>
        </w:rPr>
        <w:t>debido a la situación actual y el estado de emergencia decretado por el gobierno nacional, el pago se podrá realizar a través de consignación bancaria o transferencia a las siguientes cuentas del Banco Davivienda cuenta corriente No. 08000870-9 o a la cuenta corriente  No.136269997740</w:t>
      </w:r>
      <w:r w:rsidRPr="00E73B56">
        <w:rPr>
          <w:rFonts w:ascii="Arial" w:hAnsi="Arial" w:cs="Arial"/>
          <w:bCs/>
          <w:lang w:eastAsia="es-ES"/>
        </w:rPr>
        <w:t xml:space="preserve">, </w:t>
      </w:r>
      <w:r w:rsidRPr="00E73B56">
        <w:rPr>
          <w:rFonts w:ascii="Arial" w:hAnsi="Arial" w:cs="Arial"/>
          <w:lang w:eastAsia="es-ES"/>
        </w:rPr>
        <w:t xml:space="preserve">la suma de </w:t>
      </w:r>
      <w:r w:rsidRPr="00E73B56">
        <w:rPr>
          <w:rFonts w:ascii="Arial" w:hAnsi="Arial" w:cs="Arial"/>
          <w:b/>
          <w:lang w:eastAsia="es-ES"/>
        </w:rPr>
        <w:t>TREINTA Y OCHO MIL CUATROCIENTOS CUARENTA Y NUEVE PESOS M/CTE ($38.449)</w:t>
      </w:r>
      <w:r>
        <w:rPr>
          <w:rFonts w:ascii="Arial" w:hAnsi="Arial" w:cs="Arial"/>
          <w:b/>
          <w:lang w:eastAsia="es-ES"/>
        </w:rPr>
        <w:t xml:space="preserve">, </w:t>
      </w:r>
      <w:r w:rsidRPr="000932F5">
        <w:rPr>
          <w:rFonts w:ascii="Arial" w:hAnsi="Arial" w:cs="Arial"/>
          <w:lang w:eastAsia="es-ES"/>
        </w:rPr>
        <w:t xml:space="preserve">una vez realice este pago se debe enviar al correo </w:t>
      </w:r>
      <w:proofErr w:type="spellStart"/>
      <w:r w:rsidRPr="000932F5">
        <w:rPr>
          <w:rFonts w:ascii="Arial" w:hAnsi="Arial" w:cs="Arial"/>
          <w:lang w:eastAsia="es-ES"/>
        </w:rPr>
        <w:t>electronico</w:t>
      </w:r>
      <w:proofErr w:type="spellEnd"/>
      <w:r w:rsidRPr="000932F5">
        <w:rPr>
          <w:rFonts w:ascii="Arial" w:hAnsi="Arial" w:cs="Arial"/>
          <w:lang w:eastAsia="es-ES"/>
        </w:rPr>
        <w:t xml:space="preserve"> el comprobante de pago</w:t>
      </w:r>
      <w:r>
        <w:rPr>
          <w:rFonts w:ascii="Arial" w:hAnsi="Arial" w:cs="Arial"/>
          <w:lang w:eastAsia="es-ES"/>
        </w:rPr>
        <w:t>.</w:t>
      </w:r>
    </w:p>
    <w:p w:rsidR="00EE41DA" w:rsidRPr="00E73B56" w:rsidRDefault="00EE41DA" w:rsidP="00EE41DA">
      <w:pPr>
        <w:tabs>
          <w:tab w:val="left" w:pos="1400"/>
        </w:tabs>
        <w:spacing w:after="0" w:line="240" w:lineRule="auto"/>
        <w:jc w:val="both"/>
        <w:rPr>
          <w:rFonts w:ascii="Arial" w:hAnsi="Arial" w:cs="Arial"/>
          <w:lang w:eastAsia="es-ES"/>
        </w:rPr>
      </w:pPr>
    </w:p>
    <w:p w:rsidR="00EE41DA" w:rsidRPr="00E73B56" w:rsidRDefault="00EE41DA" w:rsidP="00EE41DA">
      <w:pPr>
        <w:spacing w:after="0" w:line="240" w:lineRule="auto"/>
        <w:jc w:val="both"/>
        <w:rPr>
          <w:rFonts w:ascii="Arial" w:hAnsi="Arial" w:cs="Arial"/>
        </w:rPr>
      </w:pPr>
      <w:r w:rsidRPr="00E73B56">
        <w:rPr>
          <w:rFonts w:ascii="Arial" w:hAnsi="Arial" w:cs="Arial"/>
          <w:b/>
          <w:bCs/>
          <w:lang w:eastAsia="es-ES"/>
        </w:rPr>
        <w:t>ARTÍCULO NOVENO</w:t>
      </w:r>
      <w:r w:rsidRPr="00E73B56">
        <w:rPr>
          <w:rFonts w:ascii="Arial" w:hAnsi="Arial" w:cs="Arial"/>
          <w:b/>
          <w:bCs/>
          <w:lang w:val="es-MX" w:eastAsia="es-ES"/>
        </w:rPr>
        <w:t xml:space="preserve">: </w:t>
      </w:r>
      <w:r w:rsidRPr="00E73B56">
        <w:rPr>
          <w:rFonts w:ascii="Arial" w:hAnsi="Arial" w:cs="Arial"/>
        </w:rPr>
        <w:t xml:space="preserve">Notificar el contenido de la presente Resolución al representante legal del </w:t>
      </w:r>
      <w:r w:rsidRPr="00E73B56">
        <w:rPr>
          <w:rFonts w:ascii="Arial" w:hAnsi="Arial" w:cs="Arial"/>
          <w:bCs/>
          <w:lang w:val="es-MX" w:eastAsia="es-ES"/>
        </w:rPr>
        <w:t xml:space="preserve">El </w:t>
      </w:r>
      <w:r w:rsidRPr="00E73B56">
        <w:rPr>
          <w:rFonts w:ascii="Arial" w:hAnsi="Arial" w:cs="Arial"/>
          <w:b/>
          <w:bCs/>
          <w:i/>
          <w:lang w:val="es-ES_tradnl"/>
        </w:rPr>
        <w:t>CENTRO DE DIAGNOSTICO AUTOMOTOR (CDA) EL DANUBIO S.A.S</w:t>
      </w:r>
      <w:r w:rsidRPr="00E73B56">
        <w:rPr>
          <w:rFonts w:ascii="Arial" w:hAnsi="Arial" w:cs="Arial"/>
          <w:b/>
          <w:lang w:val="es-ES_tradnl"/>
        </w:rPr>
        <w:t>,</w:t>
      </w:r>
      <w:r w:rsidRPr="00E73B56">
        <w:rPr>
          <w:rFonts w:ascii="Arial" w:hAnsi="Arial" w:cs="Arial"/>
        </w:rPr>
        <w:t xml:space="preserve"> y/o a su apoderado debidamente constituido.</w:t>
      </w:r>
    </w:p>
    <w:p w:rsidR="00EE41DA" w:rsidRPr="00E73B56" w:rsidRDefault="00EE41DA" w:rsidP="00EE41DA">
      <w:pPr>
        <w:tabs>
          <w:tab w:val="left" w:pos="1400"/>
        </w:tabs>
        <w:spacing w:after="0" w:line="240" w:lineRule="auto"/>
        <w:ind w:right="48"/>
        <w:jc w:val="both"/>
        <w:rPr>
          <w:rFonts w:ascii="Arial" w:hAnsi="Arial" w:cs="Arial"/>
          <w:b/>
          <w:lang w:eastAsia="es-ES"/>
        </w:rPr>
      </w:pPr>
    </w:p>
    <w:p w:rsidR="00EE41DA" w:rsidRPr="00E73B56" w:rsidRDefault="00EE41DA" w:rsidP="00EE41DA">
      <w:pPr>
        <w:tabs>
          <w:tab w:val="left" w:pos="1400"/>
        </w:tabs>
        <w:spacing w:after="0" w:line="240" w:lineRule="auto"/>
        <w:ind w:right="48"/>
        <w:jc w:val="both"/>
        <w:rPr>
          <w:rFonts w:ascii="Arial" w:hAnsi="Arial" w:cs="Arial"/>
          <w:lang w:eastAsia="es-ES"/>
        </w:rPr>
      </w:pPr>
      <w:r w:rsidRPr="00E73B56">
        <w:rPr>
          <w:rFonts w:ascii="Arial" w:hAnsi="Arial" w:cs="Arial"/>
          <w:b/>
          <w:lang w:eastAsia="es-ES"/>
        </w:rPr>
        <w:t xml:space="preserve">ARTICULO </w:t>
      </w:r>
      <w:r w:rsidRPr="00E73B56">
        <w:rPr>
          <w:rFonts w:ascii="Arial" w:hAnsi="Arial" w:cs="Arial"/>
          <w:b/>
          <w:bCs/>
          <w:lang w:eastAsia="es-ES"/>
        </w:rPr>
        <w:t xml:space="preserve">DÉCIMO: </w:t>
      </w:r>
      <w:r w:rsidRPr="00E73B56">
        <w:rPr>
          <w:rFonts w:ascii="Arial" w:hAnsi="Arial" w:cs="Arial"/>
          <w:lang w:val="es-MX" w:eastAsia="es-ES"/>
        </w:rPr>
        <w:t>Contra la presente providencia procede por vía gubernativa el recurso de reposición el cual podrá ser interpuesto dentro de los diez (10) días siguientes a ella, o a la notificación por aviso, o al vencimiento del término de la publicación, de conformidad con lo establecido en el artículo 76 Ley 1437 del 2011.</w:t>
      </w:r>
    </w:p>
    <w:p w:rsidR="00EE41DA" w:rsidRPr="00E73B56" w:rsidRDefault="00EE41DA" w:rsidP="00EE41DA">
      <w:pPr>
        <w:tabs>
          <w:tab w:val="left" w:pos="1400"/>
        </w:tabs>
        <w:spacing w:after="0" w:line="240" w:lineRule="auto"/>
        <w:ind w:right="48"/>
        <w:jc w:val="both"/>
        <w:rPr>
          <w:rFonts w:ascii="Arial" w:hAnsi="Arial" w:cs="Arial"/>
          <w:b/>
          <w:lang w:eastAsia="es-ES"/>
        </w:rPr>
      </w:pPr>
    </w:p>
    <w:p w:rsidR="00EE41DA" w:rsidRPr="00E73B56" w:rsidRDefault="00EE41DA" w:rsidP="00EE41DA">
      <w:pPr>
        <w:tabs>
          <w:tab w:val="left" w:pos="1400"/>
        </w:tabs>
        <w:spacing w:after="0" w:line="240" w:lineRule="auto"/>
        <w:ind w:right="48"/>
        <w:jc w:val="both"/>
        <w:rPr>
          <w:rFonts w:ascii="Arial" w:hAnsi="Arial" w:cs="Arial"/>
          <w:lang w:eastAsia="es-ES"/>
        </w:rPr>
      </w:pPr>
      <w:r w:rsidRPr="00E73B56">
        <w:rPr>
          <w:rFonts w:ascii="Arial" w:hAnsi="Arial" w:cs="Arial"/>
          <w:b/>
          <w:lang w:eastAsia="es-ES"/>
        </w:rPr>
        <w:t xml:space="preserve">ARTICULO </w:t>
      </w:r>
      <w:r w:rsidRPr="00E73B56">
        <w:rPr>
          <w:rFonts w:ascii="Arial" w:hAnsi="Arial" w:cs="Arial"/>
          <w:b/>
          <w:bCs/>
          <w:lang w:eastAsia="es-ES"/>
        </w:rPr>
        <w:t>DÉCIMO PRIMERO</w:t>
      </w:r>
      <w:r w:rsidRPr="00E73B56">
        <w:rPr>
          <w:rFonts w:ascii="Arial" w:hAnsi="Arial" w:cs="Arial"/>
          <w:b/>
          <w:lang w:eastAsia="es-ES"/>
        </w:rPr>
        <w:t>:</w:t>
      </w:r>
      <w:r w:rsidRPr="00E73B56">
        <w:rPr>
          <w:rFonts w:ascii="Arial" w:hAnsi="Arial" w:cs="Arial"/>
          <w:lang w:eastAsia="es-ES"/>
        </w:rPr>
        <w:t xml:space="preserve"> La presente Resolución rige a partir de la fecha de su ejecutoria.</w:t>
      </w:r>
    </w:p>
    <w:p w:rsidR="00EE41DA" w:rsidRDefault="00EE41DA" w:rsidP="00EE41DA">
      <w:pPr>
        <w:tabs>
          <w:tab w:val="left" w:pos="1400"/>
        </w:tabs>
        <w:spacing w:after="0" w:line="240" w:lineRule="auto"/>
        <w:ind w:left="284" w:right="615"/>
        <w:jc w:val="both"/>
        <w:rPr>
          <w:rFonts w:ascii="Arial" w:hAnsi="Arial" w:cs="Arial"/>
          <w:b/>
          <w:bCs/>
          <w:lang w:eastAsia="es-ES"/>
        </w:rPr>
      </w:pPr>
    </w:p>
    <w:p w:rsidR="00EE41DA" w:rsidRDefault="00EE41DA" w:rsidP="00EE41DA">
      <w:pPr>
        <w:tabs>
          <w:tab w:val="left" w:pos="1400"/>
        </w:tabs>
        <w:spacing w:after="0" w:line="240" w:lineRule="auto"/>
        <w:ind w:right="615"/>
        <w:jc w:val="both"/>
        <w:rPr>
          <w:rFonts w:ascii="Arial" w:hAnsi="Arial" w:cs="Arial"/>
          <w:b/>
          <w:bCs/>
          <w:lang w:eastAsia="es-ES"/>
        </w:rPr>
      </w:pPr>
    </w:p>
    <w:p w:rsidR="00EE41DA" w:rsidRPr="00E73B56" w:rsidRDefault="00EE41DA" w:rsidP="00EE41DA">
      <w:pPr>
        <w:tabs>
          <w:tab w:val="left" w:pos="1400"/>
        </w:tabs>
        <w:spacing w:after="0" w:line="240" w:lineRule="auto"/>
        <w:ind w:left="284" w:right="615"/>
        <w:jc w:val="both"/>
        <w:rPr>
          <w:rFonts w:ascii="Arial" w:hAnsi="Arial" w:cs="Arial"/>
          <w:b/>
          <w:bCs/>
          <w:lang w:eastAsia="es-ES"/>
        </w:rPr>
      </w:pPr>
      <w:r w:rsidRPr="00E73B56">
        <w:rPr>
          <w:rFonts w:ascii="Arial" w:hAnsi="Arial" w:cs="Arial"/>
          <w:b/>
          <w:bCs/>
          <w:lang w:eastAsia="es-ES"/>
        </w:rPr>
        <w:t>NOTIFÍQUESE, PUBLÍQUESE Y CÚMPLASE</w:t>
      </w:r>
    </w:p>
    <w:p w:rsidR="00EE41DA" w:rsidRPr="00E73B56" w:rsidRDefault="00EE41DA" w:rsidP="00EE41DA">
      <w:pPr>
        <w:tabs>
          <w:tab w:val="left" w:pos="1400"/>
        </w:tabs>
        <w:spacing w:after="0" w:line="240" w:lineRule="auto"/>
        <w:ind w:left="284" w:right="615"/>
        <w:jc w:val="both"/>
        <w:rPr>
          <w:rFonts w:ascii="Arial" w:hAnsi="Arial" w:cs="Arial"/>
          <w:lang w:eastAsia="es-ES"/>
        </w:rPr>
      </w:pPr>
    </w:p>
    <w:p w:rsidR="00EE41DA" w:rsidRPr="00E73B56" w:rsidRDefault="00EE41DA" w:rsidP="00EE41DA">
      <w:pPr>
        <w:tabs>
          <w:tab w:val="left" w:pos="1400"/>
        </w:tabs>
        <w:spacing w:after="0" w:line="240" w:lineRule="auto"/>
        <w:ind w:left="284" w:right="615"/>
        <w:jc w:val="both"/>
        <w:rPr>
          <w:rFonts w:ascii="Arial" w:hAnsi="Arial" w:cs="Arial"/>
          <w:lang w:eastAsia="es-ES"/>
        </w:rPr>
      </w:pPr>
    </w:p>
    <w:p w:rsidR="00EE41DA" w:rsidRPr="00E73B56" w:rsidRDefault="00EE41DA" w:rsidP="00EE41DA">
      <w:pPr>
        <w:spacing w:after="0" w:line="240" w:lineRule="auto"/>
        <w:jc w:val="both"/>
        <w:rPr>
          <w:rFonts w:ascii="Arial" w:hAnsi="Arial" w:cs="Arial"/>
          <w:b/>
          <w:lang w:eastAsia="es-ES"/>
        </w:rPr>
      </w:pPr>
      <w:r w:rsidRPr="00E73B56">
        <w:rPr>
          <w:rFonts w:ascii="Arial" w:hAnsi="Arial" w:cs="Arial"/>
          <w:b/>
          <w:lang w:eastAsia="es-ES"/>
        </w:rPr>
        <w:t>CARLOS ARIEL TRUKE OSPINA</w:t>
      </w:r>
    </w:p>
    <w:p w:rsidR="00EE41DA" w:rsidRPr="00E73B56" w:rsidRDefault="00EE41DA" w:rsidP="00EE41DA">
      <w:pPr>
        <w:spacing w:after="0" w:line="240" w:lineRule="auto"/>
        <w:jc w:val="both"/>
        <w:rPr>
          <w:rFonts w:ascii="Arial" w:hAnsi="Arial" w:cs="Arial"/>
          <w:lang w:val="es-ES" w:eastAsia="es-ES"/>
        </w:rPr>
      </w:pPr>
      <w:r w:rsidRPr="00E73B56">
        <w:rPr>
          <w:rFonts w:ascii="Arial" w:hAnsi="Arial" w:cs="Arial"/>
          <w:lang w:val="es-ES" w:eastAsia="es-ES"/>
        </w:rPr>
        <w:t>Subdirector de Regulación y Control Ambiental.</w:t>
      </w:r>
    </w:p>
    <w:p w:rsidR="000B3034" w:rsidRPr="00EE41DA" w:rsidRDefault="000B3034" w:rsidP="00EE41DA">
      <w:pPr>
        <w:jc w:val="both"/>
        <w:rPr>
          <w:lang w:val="es-ES"/>
        </w:rPr>
      </w:pPr>
    </w:p>
    <w:p w:rsidR="00212944" w:rsidRDefault="00212944" w:rsidP="00EE41DA">
      <w:pPr>
        <w:jc w:val="both"/>
      </w:pPr>
    </w:p>
    <w:sectPr w:rsidR="00212944" w:rsidSect="00212944">
      <w:pgSz w:w="12240" w:h="20160" w:code="5"/>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44"/>
    <w:rsid w:val="000B3034"/>
    <w:rsid w:val="00212944"/>
    <w:rsid w:val="004128F5"/>
    <w:rsid w:val="006C16AD"/>
    <w:rsid w:val="00735B58"/>
    <w:rsid w:val="00C45970"/>
    <w:rsid w:val="00EE41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7F069-0E1A-4379-A105-3A7833CD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129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alcaldiabogota.gov.co/sisjur/normas/Norma1.jsp?i=1830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E5F37-DB0E-4F83-B26B-8015F2CF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599</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3</cp:revision>
  <dcterms:created xsi:type="dcterms:W3CDTF">2020-09-18T06:14:00Z</dcterms:created>
  <dcterms:modified xsi:type="dcterms:W3CDTF">2020-09-18T12:53:00Z</dcterms:modified>
</cp:coreProperties>
</file>