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927" w:rsidRPr="00E86386" w:rsidRDefault="006E3927" w:rsidP="006E3927">
      <w:pPr>
        <w:spacing w:after="0" w:line="276" w:lineRule="auto"/>
        <w:jc w:val="center"/>
        <w:rPr>
          <w:rFonts w:ascii="Tahoma" w:hAnsi="Tahoma" w:cs="Tahoma"/>
          <w:b/>
          <w:sz w:val="24"/>
          <w:szCs w:val="24"/>
        </w:rPr>
      </w:pPr>
      <w:r w:rsidRPr="00E86386">
        <w:rPr>
          <w:rFonts w:ascii="Tahoma" w:hAnsi="Tahoma" w:cs="Tahoma"/>
          <w:b/>
          <w:sz w:val="24"/>
          <w:szCs w:val="24"/>
        </w:rPr>
        <w:t>INFORME PQRSD DEL 01 DE ENERO AL 30 DE SEPTIEMBRE DEL 2020</w:t>
      </w:r>
    </w:p>
    <w:p w:rsidR="006E3927" w:rsidRPr="00E86386" w:rsidRDefault="006E3927" w:rsidP="006E3927">
      <w:pPr>
        <w:spacing w:after="0" w:line="276" w:lineRule="auto"/>
        <w:rPr>
          <w:rFonts w:ascii="Tahoma" w:hAnsi="Tahoma" w:cs="Tahoma"/>
          <w:b/>
          <w:sz w:val="24"/>
          <w:szCs w:val="24"/>
        </w:rPr>
      </w:pPr>
    </w:p>
    <w:p w:rsidR="006E3927" w:rsidRPr="00E86386" w:rsidRDefault="006E3927" w:rsidP="00934DC1">
      <w:pPr>
        <w:spacing w:after="0" w:line="360" w:lineRule="auto"/>
        <w:jc w:val="both"/>
        <w:rPr>
          <w:rFonts w:ascii="Tahoma" w:hAnsi="Tahoma" w:cs="Tahoma"/>
          <w:sz w:val="24"/>
          <w:szCs w:val="24"/>
        </w:rPr>
      </w:pPr>
      <w:r w:rsidRPr="00E86386">
        <w:rPr>
          <w:rFonts w:ascii="Tahoma" w:eastAsia="Calibri" w:hAnsi="Tahoma" w:cs="Tahoma"/>
          <w:sz w:val="24"/>
          <w:szCs w:val="24"/>
        </w:rPr>
        <w:t xml:space="preserve">El siguiente informe corresponde a la gestión realizada en la oficina de atención </w:t>
      </w:r>
      <w:r w:rsidRPr="00E86386">
        <w:rPr>
          <w:rFonts w:ascii="Tahoma" w:hAnsi="Tahoma" w:cs="Tahoma"/>
          <w:sz w:val="24"/>
          <w:szCs w:val="24"/>
        </w:rPr>
        <w:t>al cliente del 01 de enero al 30 de septiembre</w:t>
      </w:r>
      <w:r w:rsidRPr="00E86386">
        <w:rPr>
          <w:rFonts w:ascii="Tahoma" w:eastAsia="Calibri" w:hAnsi="Tahoma" w:cs="Tahoma"/>
          <w:sz w:val="24"/>
          <w:szCs w:val="24"/>
        </w:rPr>
        <w:t xml:space="preserve"> del año 2020, el cual articula dos planes de acción. A continuación se evidencia el informe de peticiones, quejas, reclamos, sugerencias y denuncias (PQRSD) recibidas y atendidas por las dependencias de la Corporación Autónoma Regional del Quindío, con el fin de determinar la oportunidad de las respuestas y formular las recomendaciones, que conlleven al mejoramiento continuo de la entidad y con ellas alcanzar la confianza del ciudadano. </w:t>
      </w:r>
      <w:r w:rsidR="00C9038E" w:rsidRPr="00E86386">
        <w:rPr>
          <w:rFonts w:ascii="Tahoma" w:eastAsia="Calibri" w:hAnsi="Tahoma" w:cs="Tahoma"/>
          <w:sz w:val="24"/>
          <w:szCs w:val="24"/>
        </w:rPr>
        <w:t xml:space="preserve">La información a continuación relacionada es tomada  de la herramienta informática de la CRQ, </w:t>
      </w:r>
      <w:proofErr w:type="spellStart"/>
      <w:r w:rsidR="00C9038E" w:rsidRPr="00E86386">
        <w:rPr>
          <w:rFonts w:ascii="Tahoma" w:eastAsia="Calibri" w:hAnsi="Tahoma" w:cs="Tahoma"/>
          <w:sz w:val="24"/>
          <w:szCs w:val="24"/>
        </w:rPr>
        <w:t>Beesoft</w:t>
      </w:r>
      <w:proofErr w:type="spellEnd"/>
      <w:r w:rsidR="00C9038E" w:rsidRPr="00E86386">
        <w:rPr>
          <w:rFonts w:ascii="Tahoma" w:eastAsia="Calibri" w:hAnsi="Tahoma" w:cs="Tahoma"/>
          <w:sz w:val="24"/>
          <w:szCs w:val="24"/>
        </w:rPr>
        <w:t>.</w:t>
      </w:r>
    </w:p>
    <w:p w:rsidR="00C9038E" w:rsidRPr="00E86386" w:rsidRDefault="00C9038E" w:rsidP="00C9038E">
      <w:pPr>
        <w:spacing w:after="0" w:line="360" w:lineRule="auto"/>
        <w:jc w:val="both"/>
        <w:rPr>
          <w:rFonts w:ascii="Tahoma" w:hAnsi="Tahoma" w:cs="Tahoma"/>
          <w:sz w:val="24"/>
          <w:szCs w:val="24"/>
        </w:rPr>
      </w:pPr>
    </w:p>
    <w:p w:rsidR="00CC6699" w:rsidRPr="00E86386" w:rsidRDefault="006E3927" w:rsidP="00934DC1">
      <w:pPr>
        <w:spacing w:after="0" w:line="360" w:lineRule="auto"/>
        <w:jc w:val="both"/>
        <w:rPr>
          <w:rFonts w:ascii="Tahoma" w:eastAsia="Calibri" w:hAnsi="Tahoma" w:cs="Tahoma"/>
          <w:sz w:val="24"/>
          <w:szCs w:val="24"/>
        </w:rPr>
      </w:pPr>
      <w:r w:rsidRPr="00E86386">
        <w:rPr>
          <w:rFonts w:ascii="Tahoma" w:hAnsi="Tahoma" w:cs="Tahoma"/>
          <w:sz w:val="24"/>
          <w:szCs w:val="24"/>
        </w:rPr>
        <w:t xml:space="preserve">Desde el 01 de enero y hasta el 30 de septiembre del presente año </w:t>
      </w:r>
      <w:r w:rsidR="00CC6699" w:rsidRPr="00E86386">
        <w:rPr>
          <w:rFonts w:ascii="Tahoma" w:eastAsia="Calibri" w:hAnsi="Tahoma" w:cs="Tahoma"/>
          <w:sz w:val="24"/>
          <w:szCs w:val="24"/>
        </w:rPr>
        <w:t>ingresaron 2.997 derechos de p</w:t>
      </w:r>
      <w:r w:rsidRPr="00E86386">
        <w:rPr>
          <w:rFonts w:ascii="Tahoma" w:eastAsia="Calibri" w:hAnsi="Tahoma" w:cs="Tahoma"/>
          <w:sz w:val="24"/>
          <w:szCs w:val="24"/>
        </w:rPr>
        <w:t xml:space="preserve">etición, </w:t>
      </w:r>
      <w:r w:rsidR="00CC6699" w:rsidRPr="00E86386">
        <w:rPr>
          <w:rFonts w:ascii="Tahoma" w:eastAsia="Calibri" w:hAnsi="Tahoma" w:cs="Tahoma"/>
          <w:sz w:val="24"/>
          <w:szCs w:val="24"/>
        </w:rPr>
        <w:t>quejas, reclamos, sugerencias, denuncias, Informativos, correos electrónicos, Invitaciones, certificados, circulares, etc. Los cuales fueron direccionados y entregados a cada dependencia según la solicitud efectuada por los usuarios.</w:t>
      </w:r>
    </w:p>
    <w:p w:rsidR="00CC6699" w:rsidRPr="00E86386" w:rsidRDefault="00CC6699" w:rsidP="00934DC1">
      <w:pPr>
        <w:spacing w:after="0" w:line="360" w:lineRule="auto"/>
        <w:jc w:val="both"/>
        <w:rPr>
          <w:rFonts w:ascii="Tahoma" w:eastAsia="Calibri" w:hAnsi="Tahoma" w:cs="Tahoma"/>
          <w:sz w:val="24"/>
          <w:szCs w:val="24"/>
        </w:rPr>
      </w:pPr>
    </w:p>
    <w:p w:rsidR="00934DC1" w:rsidRDefault="00D82CD0" w:rsidP="00E86386">
      <w:pPr>
        <w:spacing w:after="0" w:line="360" w:lineRule="auto"/>
        <w:jc w:val="both"/>
        <w:rPr>
          <w:rFonts w:ascii="Arial" w:eastAsia="Calibri" w:hAnsi="Arial" w:cs="Arial"/>
          <w:sz w:val="24"/>
        </w:rPr>
      </w:pPr>
      <w:r w:rsidRPr="00E86386">
        <w:rPr>
          <w:rFonts w:ascii="Tahoma" w:eastAsia="Calibri" w:hAnsi="Tahoma" w:cs="Tahoma"/>
          <w:sz w:val="24"/>
          <w:szCs w:val="24"/>
        </w:rPr>
        <w:t>Así</w:t>
      </w:r>
      <w:r w:rsidR="00CC6699" w:rsidRPr="00E86386">
        <w:rPr>
          <w:rFonts w:ascii="Tahoma" w:eastAsia="Calibri" w:hAnsi="Tahoma" w:cs="Tahoma"/>
          <w:sz w:val="24"/>
          <w:szCs w:val="24"/>
        </w:rPr>
        <w:t xml:space="preserve"> pues </w:t>
      </w:r>
      <w:r w:rsidRPr="00E86386">
        <w:rPr>
          <w:rFonts w:ascii="Tahoma" w:eastAsia="Calibri" w:hAnsi="Tahoma" w:cs="Tahoma"/>
          <w:sz w:val="24"/>
          <w:szCs w:val="24"/>
        </w:rPr>
        <w:t>y de acuerdo a lo anterior encontramos a</w:t>
      </w:r>
      <w:r w:rsidR="006E3927" w:rsidRPr="00E86386">
        <w:rPr>
          <w:rFonts w:ascii="Tahoma" w:eastAsia="Calibri" w:hAnsi="Tahoma" w:cs="Tahoma"/>
          <w:sz w:val="24"/>
          <w:szCs w:val="24"/>
        </w:rPr>
        <w:t xml:space="preserve"> la Subdirección de Regulación y Control</w:t>
      </w:r>
      <w:r w:rsidR="006E3927" w:rsidRPr="00E86386">
        <w:rPr>
          <w:rFonts w:ascii="Tahoma" w:hAnsi="Tahoma" w:cs="Tahoma"/>
          <w:sz w:val="24"/>
          <w:szCs w:val="24"/>
        </w:rPr>
        <w:t xml:space="preserve"> </w:t>
      </w:r>
      <w:r w:rsidRPr="00E86386">
        <w:rPr>
          <w:rFonts w:ascii="Tahoma" w:hAnsi="Tahoma" w:cs="Tahoma"/>
          <w:sz w:val="24"/>
          <w:szCs w:val="24"/>
        </w:rPr>
        <w:t xml:space="preserve">con </w:t>
      </w:r>
      <w:r w:rsidR="006E3927" w:rsidRPr="00E86386">
        <w:rPr>
          <w:rFonts w:ascii="Tahoma" w:hAnsi="Tahoma" w:cs="Tahoma"/>
          <w:sz w:val="24"/>
          <w:szCs w:val="24"/>
        </w:rPr>
        <w:t>el mayor número de solicitudes con un</w:t>
      </w:r>
      <w:r w:rsidR="006E3927" w:rsidRPr="00E86386">
        <w:rPr>
          <w:rFonts w:ascii="Tahoma" w:eastAsia="Calibri" w:hAnsi="Tahoma" w:cs="Tahoma"/>
          <w:sz w:val="24"/>
          <w:szCs w:val="24"/>
        </w:rPr>
        <w:t xml:space="preserve"> 65%, seguido por la Subdirección de Gestión ambiental con un 13%</w:t>
      </w:r>
      <w:r w:rsidR="00934DC1">
        <w:rPr>
          <w:rFonts w:ascii="Arial" w:eastAsia="Calibri" w:hAnsi="Arial" w:cs="Arial"/>
          <w:sz w:val="24"/>
        </w:rPr>
        <w:t>.</w:t>
      </w:r>
      <w:r w:rsidR="006E3927" w:rsidRPr="00567465">
        <w:rPr>
          <w:rFonts w:ascii="Arial" w:hAnsi="Arial" w:cs="Arial"/>
          <w:bCs/>
          <w:noProof/>
          <w:sz w:val="24"/>
          <w:szCs w:val="24"/>
          <w:lang w:eastAsia="es-CO"/>
        </w:rPr>
        <w:drawing>
          <wp:inline distT="0" distB="0" distL="0" distR="0">
            <wp:extent cx="5714065" cy="2343150"/>
            <wp:effectExtent l="19050" t="0" r="935"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733382" cy="2351071"/>
                    </a:xfrm>
                    <a:prstGeom prst="rect">
                      <a:avLst/>
                    </a:prstGeom>
                    <a:noFill/>
                  </pic:spPr>
                </pic:pic>
              </a:graphicData>
            </a:graphic>
          </wp:inline>
        </w:drawing>
      </w:r>
    </w:p>
    <w:p w:rsidR="006E3927" w:rsidRPr="00C9038E" w:rsidRDefault="006E3927" w:rsidP="00934DC1">
      <w:pPr>
        <w:spacing w:after="0" w:line="276" w:lineRule="auto"/>
        <w:jc w:val="both"/>
        <w:rPr>
          <w:rFonts w:ascii="Arial" w:eastAsia="Calibri" w:hAnsi="Arial" w:cs="Arial"/>
          <w:sz w:val="24"/>
        </w:rPr>
      </w:pPr>
      <w:r w:rsidRPr="00567465">
        <w:rPr>
          <w:rFonts w:ascii="Arial" w:hAnsi="Arial" w:cs="Arial"/>
          <w:bCs/>
          <w:noProof/>
          <w:sz w:val="24"/>
          <w:szCs w:val="24"/>
          <w:lang w:eastAsia="es-CO"/>
        </w:rPr>
        <w:lastRenderedPageBreak/>
        <w:drawing>
          <wp:inline distT="0" distB="0" distL="0" distR="0">
            <wp:extent cx="5705890" cy="2619914"/>
            <wp:effectExtent l="19050" t="0" r="911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10459" cy="2622012"/>
                    </a:xfrm>
                    <a:prstGeom prst="rect">
                      <a:avLst/>
                    </a:prstGeom>
                    <a:noFill/>
                  </pic:spPr>
                </pic:pic>
              </a:graphicData>
            </a:graphic>
          </wp:inline>
        </w:drawing>
      </w:r>
    </w:p>
    <w:p w:rsidR="00934DC1" w:rsidRDefault="00934DC1" w:rsidP="006E3927">
      <w:pPr>
        <w:spacing w:line="360" w:lineRule="auto"/>
        <w:jc w:val="both"/>
        <w:rPr>
          <w:rFonts w:ascii="Arial" w:hAnsi="Arial" w:cs="Arial"/>
          <w:bCs/>
          <w:sz w:val="24"/>
          <w:szCs w:val="24"/>
          <w:lang w:val="es-ES"/>
        </w:rPr>
      </w:pPr>
    </w:p>
    <w:p w:rsidR="00D82CD0" w:rsidRPr="00E86386" w:rsidRDefault="00D82CD0" w:rsidP="006E3927">
      <w:pPr>
        <w:spacing w:line="360" w:lineRule="auto"/>
        <w:jc w:val="both"/>
        <w:rPr>
          <w:rFonts w:ascii="Tahoma" w:hAnsi="Tahoma" w:cs="Tahoma"/>
          <w:bCs/>
          <w:sz w:val="24"/>
          <w:szCs w:val="24"/>
          <w:lang w:val="es-ES"/>
        </w:rPr>
      </w:pPr>
      <w:r w:rsidRPr="00E86386">
        <w:rPr>
          <w:rFonts w:ascii="Tahoma" w:hAnsi="Tahoma" w:cs="Tahoma"/>
          <w:bCs/>
          <w:sz w:val="24"/>
          <w:szCs w:val="24"/>
          <w:lang w:val="es-ES"/>
        </w:rPr>
        <w:t xml:space="preserve">De acuerdo al sistema de información </w:t>
      </w:r>
      <w:proofErr w:type="spellStart"/>
      <w:r w:rsidRPr="00E86386">
        <w:rPr>
          <w:rFonts w:ascii="Tahoma" w:hAnsi="Tahoma" w:cs="Tahoma"/>
          <w:bCs/>
          <w:sz w:val="24"/>
          <w:szCs w:val="24"/>
          <w:lang w:val="es-ES"/>
        </w:rPr>
        <w:t>beesoft</w:t>
      </w:r>
      <w:proofErr w:type="spellEnd"/>
      <w:r w:rsidRPr="00E86386">
        <w:rPr>
          <w:rFonts w:ascii="Tahoma" w:hAnsi="Tahoma" w:cs="Tahoma"/>
          <w:bCs/>
          <w:sz w:val="24"/>
          <w:szCs w:val="24"/>
          <w:lang w:val="es-ES"/>
        </w:rPr>
        <w:t xml:space="preserve"> se genero la salida y respuesta al 79% </w:t>
      </w:r>
      <w:r w:rsidR="006E3927" w:rsidRPr="00E86386">
        <w:rPr>
          <w:rFonts w:ascii="Tahoma" w:hAnsi="Tahoma" w:cs="Tahoma"/>
          <w:bCs/>
          <w:sz w:val="24"/>
          <w:szCs w:val="24"/>
          <w:lang w:val="es-ES"/>
        </w:rPr>
        <w:t>de</w:t>
      </w:r>
      <w:r w:rsidRPr="00E86386">
        <w:rPr>
          <w:rFonts w:ascii="Tahoma" w:hAnsi="Tahoma" w:cs="Tahoma"/>
          <w:bCs/>
          <w:sz w:val="24"/>
          <w:szCs w:val="24"/>
          <w:lang w:val="es-ES"/>
        </w:rPr>
        <w:t xml:space="preserve"> las PQRS, las cuales fueron enviadas a nivel Municipal, Departamental y Nacional dando así cumplimiento a todos los requerimientos interpuestos, </w:t>
      </w:r>
      <w:r w:rsidR="006E3927" w:rsidRPr="00E86386">
        <w:rPr>
          <w:rFonts w:ascii="Tahoma" w:hAnsi="Tahoma" w:cs="Tahoma"/>
          <w:bCs/>
          <w:sz w:val="24"/>
          <w:szCs w:val="24"/>
          <w:lang w:val="es-ES"/>
        </w:rPr>
        <w:t>lo que significa que d</w:t>
      </w:r>
      <w:r w:rsidRPr="00E86386">
        <w:rPr>
          <w:rFonts w:ascii="Tahoma" w:hAnsi="Tahoma" w:cs="Tahoma"/>
          <w:bCs/>
          <w:sz w:val="24"/>
          <w:szCs w:val="24"/>
          <w:lang w:val="es-ES"/>
        </w:rPr>
        <w:t>el total se respondieron 1.636.</w:t>
      </w:r>
    </w:p>
    <w:p w:rsidR="00934DC1" w:rsidRPr="00E86386" w:rsidRDefault="00D82CD0" w:rsidP="006E3927">
      <w:pPr>
        <w:spacing w:line="360" w:lineRule="auto"/>
        <w:jc w:val="both"/>
        <w:rPr>
          <w:rFonts w:ascii="Tahoma" w:hAnsi="Tahoma" w:cs="Tahoma"/>
          <w:bCs/>
          <w:sz w:val="24"/>
          <w:szCs w:val="24"/>
          <w:lang w:val="es-ES"/>
        </w:rPr>
      </w:pPr>
      <w:r w:rsidRPr="00E86386">
        <w:rPr>
          <w:rFonts w:ascii="Tahoma" w:hAnsi="Tahoma" w:cs="Tahoma"/>
          <w:bCs/>
          <w:sz w:val="24"/>
          <w:szCs w:val="24"/>
          <w:lang w:val="es-ES"/>
        </w:rPr>
        <w:t xml:space="preserve">En cuanto a las </w:t>
      </w:r>
      <w:r w:rsidR="006E3927" w:rsidRPr="00E86386">
        <w:rPr>
          <w:rFonts w:ascii="Tahoma" w:hAnsi="Tahoma" w:cs="Tahoma"/>
          <w:bCs/>
          <w:sz w:val="24"/>
          <w:szCs w:val="24"/>
          <w:lang w:val="es-ES"/>
        </w:rPr>
        <w:t>denuncias tenemos un porcentaje de respuesta del 85% es decir 815 denuncias atendidas.</w:t>
      </w:r>
    </w:p>
    <w:p w:rsidR="006E3927" w:rsidRDefault="006E3927" w:rsidP="00C81BCC">
      <w:pPr>
        <w:spacing w:after="0" w:line="240" w:lineRule="auto"/>
        <w:jc w:val="center"/>
        <w:rPr>
          <w:rFonts w:ascii="Calibri" w:eastAsia="Calibri" w:hAnsi="Calibri" w:cs="Times New Roman"/>
          <w:b/>
          <w:bCs/>
          <w:sz w:val="24"/>
          <w:szCs w:val="24"/>
        </w:rPr>
      </w:pPr>
      <w:r w:rsidRPr="00567465">
        <w:rPr>
          <w:rFonts w:ascii="Calibri" w:eastAsia="Calibri" w:hAnsi="Calibri" w:cs="Times New Roman"/>
          <w:b/>
          <w:bCs/>
          <w:noProof/>
          <w:sz w:val="24"/>
          <w:szCs w:val="24"/>
          <w:lang w:eastAsia="es-CO"/>
        </w:rPr>
        <w:drawing>
          <wp:inline distT="0" distB="0" distL="0" distR="0">
            <wp:extent cx="5571490" cy="2322951"/>
            <wp:effectExtent l="1905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577111" cy="2325295"/>
                    </a:xfrm>
                    <a:prstGeom prst="rect">
                      <a:avLst/>
                    </a:prstGeom>
                    <a:noFill/>
                  </pic:spPr>
                </pic:pic>
              </a:graphicData>
            </a:graphic>
          </wp:inline>
        </w:drawing>
      </w:r>
    </w:p>
    <w:p w:rsidR="006E3927" w:rsidRDefault="006E3927" w:rsidP="006E3927">
      <w:pPr>
        <w:spacing w:after="0" w:line="360" w:lineRule="auto"/>
        <w:jc w:val="both"/>
        <w:rPr>
          <w:rFonts w:ascii="Calibri" w:eastAsia="Calibri" w:hAnsi="Calibri" w:cs="Times New Roman"/>
          <w:b/>
          <w:bCs/>
          <w:sz w:val="24"/>
          <w:szCs w:val="24"/>
        </w:rPr>
      </w:pPr>
    </w:p>
    <w:p w:rsidR="00C81BCC" w:rsidRDefault="00C81BCC" w:rsidP="006E3927">
      <w:pPr>
        <w:spacing w:after="0" w:line="360" w:lineRule="auto"/>
        <w:jc w:val="both"/>
        <w:rPr>
          <w:rFonts w:ascii="Calibri" w:eastAsia="Calibri" w:hAnsi="Calibri" w:cs="Times New Roman"/>
          <w:b/>
          <w:bCs/>
          <w:sz w:val="24"/>
          <w:szCs w:val="24"/>
        </w:rPr>
      </w:pPr>
    </w:p>
    <w:p w:rsidR="00C81BCC" w:rsidRDefault="00C81BCC" w:rsidP="006E3927">
      <w:pPr>
        <w:spacing w:after="0" w:line="360" w:lineRule="auto"/>
        <w:jc w:val="both"/>
        <w:rPr>
          <w:rFonts w:ascii="Calibri" w:eastAsia="Calibri" w:hAnsi="Calibri" w:cs="Times New Roman"/>
          <w:b/>
          <w:bCs/>
          <w:sz w:val="24"/>
          <w:szCs w:val="24"/>
        </w:rPr>
      </w:pPr>
    </w:p>
    <w:p w:rsidR="006E3927" w:rsidRPr="00E86386" w:rsidRDefault="006E3927" w:rsidP="006E3927">
      <w:pPr>
        <w:spacing w:after="0" w:line="360" w:lineRule="auto"/>
        <w:jc w:val="both"/>
        <w:rPr>
          <w:rFonts w:ascii="Tahoma" w:eastAsia="Calibri" w:hAnsi="Tahoma" w:cs="Tahoma"/>
          <w:b/>
          <w:bCs/>
          <w:sz w:val="24"/>
          <w:szCs w:val="24"/>
        </w:rPr>
      </w:pPr>
      <w:r w:rsidRPr="00E86386">
        <w:rPr>
          <w:rFonts w:ascii="Tahoma" w:eastAsia="Calibri" w:hAnsi="Tahoma" w:cs="Tahoma"/>
          <w:bCs/>
          <w:sz w:val="24"/>
          <w:szCs w:val="24"/>
        </w:rPr>
        <w:lastRenderedPageBreak/>
        <w:t>Lo anterior significa que el número de PQRSD sin respuesta es de 404 PQRS y 142 denuncias, es decir 21% y 15% respectivamente</w:t>
      </w:r>
      <w:r w:rsidR="00D82CD0" w:rsidRPr="00E86386">
        <w:rPr>
          <w:rFonts w:ascii="Tahoma" w:eastAsia="Calibri" w:hAnsi="Tahoma" w:cs="Tahoma"/>
          <w:bCs/>
          <w:sz w:val="24"/>
          <w:szCs w:val="24"/>
        </w:rPr>
        <w:t xml:space="preserve">; lo anterior debido a que muchas no necesitan respuesta, otras por su parte se respondieron pero no fueron descargadas del sistema de </w:t>
      </w:r>
      <w:r w:rsidR="00C81BCC" w:rsidRPr="00E86386">
        <w:rPr>
          <w:rFonts w:ascii="Tahoma" w:eastAsia="Calibri" w:hAnsi="Tahoma" w:cs="Tahoma"/>
          <w:bCs/>
          <w:sz w:val="24"/>
          <w:szCs w:val="24"/>
        </w:rPr>
        <w:t>información</w:t>
      </w:r>
      <w:r w:rsidR="00D82CD0" w:rsidRPr="00E86386">
        <w:rPr>
          <w:rFonts w:ascii="Tahoma" w:eastAsia="Calibri" w:hAnsi="Tahoma" w:cs="Tahoma"/>
          <w:bCs/>
          <w:sz w:val="24"/>
          <w:szCs w:val="24"/>
        </w:rPr>
        <w:t xml:space="preserve"> </w:t>
      </w:r>
      <w:proofErr w:type="spellStart"/>
      <w:r w:rsidR="00D82CD0" w:rsidRPr="00E86386">
        <w:rPr>
          <w:rFonts w:ascii="Tahoma" w:eastAsia="Calibri" w:hAnsi="Tahoma" w:cs="Tahoma"/>
          <w:bCs/>
          <w:sz w:val="24"/>
          <w:szCs w:val="24"/>
        </w:rPr>
        <w:t>beesoft</w:t>
      </w:r>
      <w:proofErr w:type="spellEnd"/>
      <w:r w:rsidR="00C81BCC" w:rsidRPr="00E86386">
        <w:rPr>
          <w:rFonts w:ascii="Tahoma" w:eastAsia="Calibri" w:hAnsi="Tahoma" w:cs="Tahoma"/>
          <w:bCs/>
          <w:sz w:val="24"/>
          <w:szCs w:val="24"/>
        </w:rPr>
        <w:t>, y de igual forma por la emergencia sanitaria decretada por el gobierno nacional existió mucha restricción vehicular que dificulto el traslado y seguimiento de las denuncias.</w:t>
      </w:r>
    </w:p>
    <w:p w:rsidR="006E3927" w:rsidRPr="00C67249" w:rsidRDefault="006E3927" w:rsidP="006E3927">
      <w:pPr>
        <w:spacing w:after="0" w:line="360" w:lineRule="auto"/>
        <w:ind w:left="-1134"/>
        <w:jc w:val="both"/>
        <w:rPr>
          <w:rFonts w:ascii="Arial" w:eastAsia="Calibri" w:hAnsi="Arial" w:cs="Arial"/>
          <w:bCs/>
          <w:sz w:val="24"/>
          <w:szCs w:val="24"/>
        </w:rPr>
      </w:pPr>
    </w:p>
    <w:p w:rsidR="006E3927" w:rsidRDefault="006E3927" w:rsidP="00C81BCC">
      <w:pPr>
        <w:spacing w:after="0" w:line="240" w:lineRule="auto"/>
        <w:jc w:val="center"/>
        <w:rPr>
          <w:rFonts w:ascii="Calibri" w:eastAsia="Calibri" w:hAnsi="Calibri" w:cs="Times New Roman"/>
          <w:b/>
          <w:bCs/>
          <w:sz w:val="24"/>
          <w:szCs w:val="24"/>
        </w:rPr>
      </w:pPr>
      <w:r w:rsidRPr="00567465">
        <w:rPr>
          <w:rFonts w:ascii="Calibri" w:eastAsia="Calibri" w:hAnsi="Calibri" w:cs="Times New Roman"/>
          <w:b/>
          <w:bCs/>
          <w:noProof/>
          <w:sz w:val="24"/>
          <w:szCs w:val="24"/>
          <w:lang w:eastAsia="es-CO"/>
        </w:rPr>
        <w:drawing>
          <wp:inline distT="0" distB="0" distL="0" distR="0">
            <wp:extent cx="5561793" cy="2162175"/>
            <wp:effectExtent l="19050" t="0" r="807"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572631" cy="2166388"/>
                    </a:xfrm>
                    <a:prstGeom prst="rect">
                      <a:avLst/>
                    </a:prstGeom>
                    <a:noFill/>
                  </pic:spPr>
                </pic:pic>
              </a:graphicData>
            </a:graphic>
          </wp:inline>
        </w:drawing>
      </w:r>
    </w:p>
    <w:p w:rsidR="006E3927" w:rsidRDefault="006E3927" w:rsidP="006E3927">
      <w:pPr>
        <w:spacing w:after="0" w:line="360" w:lineRule="auto"/>
        <w:rPr>
          <w:rFonts w:ascii="Calibri" w:eastAsia="Calibri" w:hAnsi="Calibri" w:cs="Times New Roman"/>
          <w:b/>
          <w:bCs/>
          <w:sz w:val="24"/>
          <w:szCs w:val="24"/>
        </w:rPr>
      </w:pPr>
    </w:p>
    <w:p w:rsidR="006E3927" w:rsidRPr="00E86386" w:rsidRDefault="006E3927" w:rsidP="006E3927">
      <w:pPr>
        <w:spacing w:after="0" w:line="360" w:lineRule="auto"/>
        <w:rPr>
          <w:rFonts w:ascii="Tahoma" w:eastAsia="Calibri" w:hAnsi="Tahoma" w:cs="Tahoma"/>
          <w:b/>
          <w:bCs/>
          <w:sz w:val="24"/>
          <w:szCs w:val="24"/>
        </w:rPr>
      </w:pPr>
      <w:r w:rsidRPr="00E86386">
        <w:rPr>
          <w:rFonts w:ascii="Tahoma" w:eastAsia="Calibri" w:hAnsi="Tahoma" w:cs="Tahoma"/>
          <w:b/>
          <w:bCs/>
          <w:sz w:val="24"/>
          <w:szCs w:val="24"/>
        </w:rPr>
        <w:t>REQUERIMIENTO ENTES DE CONTROL POR DEPENDENCIA</w:t>
      </w:r>
    </w:p>
    <w:p w:rsidR="006E3927" w:rsidRPr="00E86386" w:rsidRDefault="006E3927" w:rsidP="006E3927">
      <w:pPr>
        <w:spacing w:after="0" w:line="360" w:lineRule="auto"/>
        <w:ind w:left="-1134"/>
        <w:rPr>
          <w:rFonts w:ascii="Tahoma" w:eastAsia="Calibri" w:hAnsi="Tahoma" w:cs="Tahoma"/>
          <w:b/>
          <w:bCs/>
          <w:sz w:val="24"/>
          <w:szCs w:val="24"/>
        </w:rPr>
      </w:pPr>
    </w:p>
    <w:p w:rsidR="006E3927" w:rsidRPr="00E86386" w:rsidRDefault="006E3927" w:rsidP="006E3927">
      <w:pPr>
        <w:spacing w:after="0" w:line="360" w:lineRule="auto"/>
        <w:jc w:val="both"/>
        <w:rPr>
          <w:rFonts w:ascii="Tahoma" w:eastAsia="Calibri" w:hAnsi="Tahoma" w:cs="Tahoma"/>
          <w:b/>
          <w:bCs/>
          <w:sz w:val="24"/>
          <w:szCs w:val="24"/>
        </w:rPr>
      </w:pPr>
      <w:r w:rsidRPr="00E86386">
        <w:rPr>
          <w:rFonts w:ascii="Tahoma" w:eastAsia="Calibri" w:hAnsi="Tahoma" w:cs="Tahoma"/>
          <w:sz w:val="24"/>
          <w:szCs w:val="24"/>
        </w:rPr>
        <w:t>De los Derechos de Petición ingresados en el periodo evaluado, el 8%, corresponden a Requerimientos de los Entes de control, entre ellos están Procuradurías, Fiscalías, Contralorías, Presidencia de la Republica, Consejo de Estado y Congreso.</w:t>
      </w:r>
    </w:p>
    <w:p w:rsidR="006E3927" w:rsidRPr="00567465" w:rsidRDefault="006E3927" w:rsidP="006E3927">
      <w:pPr>
        <w:spacing w:line="276" w:lineRule="auto"/>
        <w:ind w:left="-1134"/>
        <w:jc w:val="both"/>
        <w:rPr>
          <w:rFonts w:ascii="Arial" w:hAnsi="Arial" w:cs="Arial"/>
          <w:bCs/>
          <w:sz w:val="24"/>
          <w:szCs w:val="24"/>
          <w:lang w:val="es-ES"/>
        </w:rPr>
      </w:pPr>
    </w:p>
    <w:p w:rsidR="006E3927" w:rsidRDefault="006E3927" w:rsidP="006E3927">
      <w:pPr>
        <w:spacing w:line="276" w:lineRule="auto"/>
        <w:jc w:val="center"/>
        <w:rPr>
          <w:rFonts w:ascii="Arial" w:hAnsi="Arial" w:cs="Arial"/>
          <w:bCs/>
          <w:sz w:val="24"/>
          <w:szCs w:val="24"/>
          <w:lang w:val="es-ES"/>
        </w:rPr>
      </w:pPr>
      <w:r w:rsidRPr="00567465">
        <w:rPr>
          <w:rFonts w:ascii="Arial" w:hAnsi="Arial" w:cs="Arial"/>
          <w:bCs/>
          <w:noProof/>
          <w:sz w:val="24"/>
          <w:szCs w:val="24"/>
          <w:lang w:eastAsia="es-CO"/>
        </w:rPr>
        <w:lastRenderedPageBreak/>
        <w:drawing>
          <wp:inline distT="0" distB="0" distL="0" distR="0">
            <wp:extent cx="5456028" cy="2514600"/>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469104" cy="2520626"/>
                    </a:xfrm>
                    <a:prstGeom prst="rect">
                      <a:avLst/>
                    </a:prstGeom>
                    <a:noFill/>
                  </pic:spPr>
                </pic:pic>
              </a:graphicData>
            </a:graphic>
          </wp:inline>
        </w:drawing>
      </w:r>
    </w:p>
    <w:p w:rsidR="006E3927" w:rsidRPr="00E86386" w:rsidRDefault="006E3927" w:rsidP="006E3927">
      <w:pPr>
        <w:spacing w:line="360" w:lineRule="auto"/>
        <w:jc w:val="both"/>
        <w:rPr>
          <w:rFonts w:ascii="Tahoma" w:hAnsi="Tahoma" w:cs="Tahoma"/>
          <w:bCs/>
          <w:sz w:val="24"/>
          <w:szCs w:val="24"/>
          <w:lang w:val="es-ES"/>
        </w:rPr>
      </w:pPr>
      <w:r w:rsidRPr="00E86386">
        <w:rPr>
          <w:rFonts w:ascii="Tahoma" w:hAnsi="Tahoma" w:cs="Tahoma"/>
          <w:bCs/>
          <w:sz w:val="24"/>
          <w:szCs w:val="24"/>
          <w:lang w:val="es-ES"/>
        </w:rPr>
        <w:t>El 100% de los derechos de petición ingresados en el periodo evaluado por parte de los entes de control han sido respondidos de forma efectiva y a tiempo. Generando este importante porcentaje de la totalidad de ellos con respuesta oportuna.</w:t>
      </w:r>
    </w:p>
    <w:p w:rsidR="008C47F7" w:rsidRPr="00E86386" w:rsidRDefault="008C47F7" w:rsidP="008C47F7">
      <w:pPr>
        <w:spacing w:line="360" w:lineRule="auto"/>
        <w:jc w:val="center"/>
        <w:rPr>
          <w:rFonts w:ascii="Tahoma" w:hAnsi="Tahoma" w:cs="Tahoma"/>
          <w:b/>
          <w:bCs/>
          <w:sz w:val="24"/>
          <w:szCs w:val="24"/>
          <w:lang w:val="es-ES"/>
        </w:rPr>
      </w:pPr>
      <w:r w:rsidRPr="00E86386">
        <w:rPr>
          <w:rFonts w:ascii="Tahoma" w:hAnsi="Tahoma" w:cs="Tahoma"/>
          <w:b/>
          <w:bCs/>
          <w:sz w:val="24"/>
          <w:szCs w:val="24"/>
          <w:lang w:val="es-ES"/>
        </w:rPr>
        <w:t>INFORME DENUNCIAS DEL 01 DE ENERO AL 30 DE SEPTIEMBRE DEL 2020</w:t>
      </w:r>
    </w:p>
    <w:p w:rsidR="006E3927" w:rsidRPr="00E86386" w:rsidRDefault="006E3927" w:rsidP="006E3927">
      <w:pPr>
        <w:spacing w:before="100" w:after="0" w:line="360" w:lineRule="auto"/>
        <w:jc w:val="both"/>
        <w:rPr>
          <w:rFonts w:ascii="Tahoma" w:eastAsia="Calibri" w:hAnsi="Tahoma" w:cs="Tahoma"/>
          <w:sz w:val="24"/>
          <w:szCs w:val="24"/>
        </w:rPr>
      </w:pPr>
      <w:r w:rsidRPr="00E86386">
        <w:rPr>
          <w:rFonts w:ascii="Tahoma" w:eastAsia="Calibri" w:hAnsi="Tahoma" w:cs="Tahoma"/>
          <w:sz w:val="24"/>
          <w:szCs w:val="24"/>
        </w:rPr>
        <w:t>D</w:t>
      </w:r>
      <w:r w:rsidRPr="00E86386">
        <w:rPr>
          <w:rFonts w:ascii="Tahoma" w:hAnsi="Tahoma" w:cs="Tahoma"/>
          <w:sz w:val="24"/>
          <w:szCs w:val="24"/>
        </w:rPr>
        <w:t>esde el primero de enero del 2020</w:t>
      </w:r>
      <w:r w:rsidRPr="00E86386">
        <w:rPr>
          <w:rFonts w:ascii="Tahoma" w:eastAsia="Calibri" w:hAnsi="Tahoma" w:cs="Tahoma"/>
          <w:sz w:val="24"/>
          <w:szCs w:val="24"/>
        </w:rPr>
        <w:t xml:space="preserve">, los ciudadanos, usuarios y/o grupos de valor que presentaron denuncias, se atienden inicialmente por el equipo de servicio al cliente como canal de atención en donde se brinda atención y orientación en temas relacionados con información general de la CRQ. </w:t>
      </w:r>
      <w:r w:rsidRPr="00E86386">
        <w:rPr>
          <w:rFonts w:ascii="Tahoma" w:hAnsi="Tahoma" w:cs="Tahoma"/>
          <w:sz w:val="24"/>
          <w:szCs w:val="24"/>
        </w:rPr>
        <w:t>A la fecha s</w:t>
      </w:r>
      <w:r w:rsidRPr="00E86386">
        <w:rPr>
          <w:rFonts w:ascii="Tahoma" w:eastAsia="Calibri" w:hAnsi="Tahoma" w:cs="Tahoma"/>
          <w:sz w:val="24"/>
          <w:szCs w:val="24"/>
        </w:rPr>
        <w:t xml:space="preserve">e </w:t>
      </w:r>
      <w:r w:rsidRPr="00E86386">
        <w:rPr>
          <w:rFonts w:ascii="Tahoma" w:hAnsi="Tahoma" w:cs="Tahoma"/>
          <w:sz w:val="24"/>
          <w:szCs w:val="24"/>
        </w:rPr>
        <w:t xml:space="preserve">han </w:t>
      </w:r>
      <w:proofErr w:type="spellStart"/>
      <w:r w:rsidRPr="00E86386">
        <w:rPr>
          <w:rFonts w:ascii="Tahoma" w:hAnsi="Tahoma" w:cs="Tahoma"/>
          <w:sz w:val="24"/>
          <w:szCs w:val="24"/>
        </w:rPr>
        <w:t>recepcionado</w:t>
      </w:r>
      <w:proofErr w:type="spellEnd"/>
      <w:r w:rsidRPr="00E86386">
        <w:rPr>
          <w:rFonts w:ascii="Tahoma" w:eastAsia="Calibri" w:hAnsi="Tahoma" w:cs="Tahoma"/>
          <w:sz w:val="24"/>
          <w:szCs w:val="24"/>
        </w:rPr>
        <w:t xml:space="preserve"> 959 denuncias, las cuales fueron atendidas por</w:t>
      </w:r>
      <w:r w:rsidRPr="00E86386">
        <w:rPr>
          <w:rFonts w:ascii="Tahoma" w:hAnsi="Tahoma" w:cs="Tahoma"/>
          <w:sz w:val="24"/>
          <w:szCs w:val="24"/>
        </w:rPr>
        <w:t xml:space="preserve"> la URIA (Unidad de Reacción Inmediata Ambiental)</w:t>
      </w:r>
      <w:r w:rsidR="00F209EE" w:rsidRPr="00E86386">
        <w:rPr>
          <w:rFonts w:ascii="Tahoma" w:hAnsi="Tahoma" w:cs="Tahoma"/>
          <w:sz w:val="24"/>
          <w:szCs w:val="24"/>
        </w:rPr>
        <w:t>, estrategia</w:t>
      </w:r>
      <w:r w:rsidRPr="00E86386">
        <w:rPr>
          <w:rFonts w:ascii="Tahoma" w:eastAsia="Calibri" w:hAnsi="Tahoma" w:cs="Tahoma"/>
          <w:sz w:val="24"/>
          <w:szCs w:val="24"/>
        </w:rPr>
        <w:t xml:space="preserve"> </w:t>
      </w:r>
      <w:r w:rsidRPr="00E86386">
        <w:rPr>
          <w:rFonts w:ascii="Tahoma" w:hAnsi="Tahoma" w:cs="Tahoma"/>
          <w:sz w:val="24"/>
          <w:szCs w:val="24"/>
        </w:rPr>
        <w:t xml:space="preserve">y </w:t>
      </w:r>
      <w:r w:rsidRPr="00E86386">
        <w:rPr>
          <w:rFonts w:ascii="Tahoma" w:eastAsia="Calibri" w:hAnsi="Tahoma" w:cs="Tahoma"/>
          <w:sz w:val="24"/>
          <w:szCs w:val="24"/>
        </w:rPr>
        <w:t>funcionarios</w:t>
      </w:r>
      <w:r w:rsidRPr="00E86386">
        <w:rPr>
          <w:rFonts w:ascii="Tahoma" w:hAnsi="Tahoma" w:cs="Tahoma"/>
          <w:sz w:val="24"/>
          <w:szCs w:val="24"/>
        </w:rPr>
        <w:t xml:space="preserve"> competentes de la entidad.</w:t>
      </w:r>
    </w:p>
    <w:p w:rsidR="006E3927" w:rsidRPr="00E86386" w:rsidRDefault="006E3927" w:rsidP="006E3927">
      <w:pPr>
        <w:spacing w:before="100" w:after="0" w:line="360" w:lineRule="auto"/>
        <w:jc w:val="both"/>
        <w:rPr>
          <w:rFonts w:ascii="Tahoma" w:eastAsia="Calibri" w:hAnsi="Tahoma" w:cs="Tahoma"/>
          <w:sz w:val="24"/>
          <w:szCs w:val="24"/>
        </w:rPr>
      </w:pPr>
      <w:r w:rsidRPr="00E86386">
        <w:rPr>
          <w:rFonts w:ascii="Tahoma" w:eastAsia="Calibri" w:hAnsi="Tahoma" w:cs="Tahoma"/>
          <w:sz w:val="24"/>
          <w:szCs w:val="24"/>
        </w:rPr>
        <w:t>En el presente informe se realiza una descripción sobre el tipo de denuncia y municipio en que ocurrió.</w:t>
      </w:r>
    </w:p>
    <w:p w:rsidR="00F209EE" w:rsidRPr="00E86386" w:rsidRDefault="00F209EE" w:rsidP="006E3927">
      <w:pPr>
        <w:spacing w:before="100" w:after="0" w:line="360" w:lineRule="auto"/>
        <w:jc w:val="both"/>
        <w:rPr>
          <w:rFonts w:ascii="Tahoma" w:eastAsia="Calibri" w:hAnsi="Tahoma" w:cs="Tahoma"/>
          <w:sz w:val="24"/>
          <w:szCs w:val="24"/>
        </w:rPr>
      </w:pPr>
    </w:p>
    <w:p w:rsidR="006E3927" w:rsidRPr="00E86386" w:rsidRDefault="006E3927" w:rsidP="006E3927">
      <w:pPr>
        <w:numPr>
          <w:ilvl w:val="0"/>
          <w:numId w:val="6"/>
        </w:numPr>
        <w:spacing w:line="360" w:lineRule="auto"/>
        <w:contextualSpacing/>
        <w:rPr>
          <w:rFonts w:ascii="Tahoma" w:hAnsi="Tahoma" w:cs="Tahoma"/>
          <w:b/>
          <w:sz w:val="24"/>
          <w:szCs w:val="24"/>
        </w:rPr>
      </w:pPr>
      <w:r w:rsidRPr="00E86386">
        <w:rPr>
          <w:rFonts w:ascii="Tahoma" w:hAnsi="Tahoma" w:cs="Tahoma"/>
          <w:b/>
          <w:sz w:val="24"/>
          <w:szCs w:val="24"/>
        </w:rPr>
        <w:t xml:space="preserve">Total denuncias: 959 </w:t>
      </w:r>
    </w:p>
    <w:p w:rsidR="006E3927" w:rsidRPr="00E86386" w:rsidRDefault="006E3927" w:rsidP="006E3927">
      <w:pPr>
        <w:numPr>
          <w:ilvl w:val="0"/>
          <w:numId w:val="6"/>
        </w:numPr>
        <w:spacing w:line="360" w:lineRule="auto"/>
        <w:contextualSpacing/>
        <w:rPr>
          <w:rFonts w:ascii="Tahoma" w:hAnsi="Tahoma" w:cs="Tahoma"/>
          <w:b/>
          <w:sz w:val="24"/>
          <w:szCs w:val="24"/>
        </w:rPr>
      </w:pPr>
      <w:r w:rsidRPr="00E86386">
        <w:rPr>
          <w:rFonts w:ascii="Tahoma" w:hAnsi="Tahoma" w:cs="Tahoma"/>
          <w:b/>
          <w:sz w:val="24"/>
          <w:szCs w:val="24"/>
        </w:rPr>
        <w:t xml:space="preserve">Promedio denuncias mes: 106 </w:t>
      </w:r>
    </w:p>
    <w:p w:rsidR="006E3927" w:rsidRPr="00E86386" w:rsidRDefault="006E3927" w:rsidP="006E3927">
      <w:pPr>
        <w:numPr>
          <w:ilvl w:val="0"/>
          <w:numId w:val="6"/>
        </w:numPr>
        <w:spacing w:line="360" w:lineRule="auto"/>
        <w:contextualSpacing/>
        <w:rPr>
          <w:rFonts w:ascii="Tahoma" w:hAnsi="Tahoma" w:cs="Tahoma"/>
          <w:b/>
          <w:sz w:val="24"/>
          <w:szCs w:val="24"/>
        </w:rPr>
      </w:pPr>
      <w:r w:rsidRPr="00E86386">
        <w:rPr>
          <w:rFonts w:ascii="Tahoma" w:hAnsi="Tahoma" w:cs="Tahoma"/>
          <w:b/>
          <w:sz w:val="24"/>
          <w:szCs w:val="24"/>
        </w:rPr>
        <w:t>% denuncias anónimas: 63%</w:t>
      </w:r>
    </w:p>
    <w:p w:rsidR="006E3927" w:rsidRPr="00E86386" w:rsidRDefault="006E3927" w:rsidP="006E3927">
      <w:pPr>
        <w:numPr>
          <w:ilvl w:val="0"/>
          <w:numId w:val="6"/>
        </w:numPr>
        <w:spacing w:line="360" w:lineRule="auto"/>
        <w:contextualSpacing/>
        <w:rPr>
          <w:rFonts w:ascii="Tahoma" w:hAnsi="Tahoma" w:cs="Tahoma"/>
          <w:b/>
          <w:sz w:val="24"/>
          <w:szCs w:val="24"/>
        </w:rPr>
      </w:pPr>
      <w:r w:rsidRPr="00E86386">
        <w:rPr>
          <w:rFonts w:ascii="Tahoma" w:hAnsi="Tahoma" w:cs="Tahoma"/>
          <w:b/>
          <w:sz w:val="24"/>
          <w:szCs w:val="24"/>
        </w:rPr>
        <w:lastRenderedPageBreak/>
        <w:t>Promedio denuncias de reacción inmediata diarias: 4</w:t>
      </w:r>
    </w:p>
    <w:p w:rsidR="006E3927" w:rsidRPr="00E86386" w:rsidRDefault="006E3927" w:rsidP="006E3927">
      <w:pPr>
        <w:numPr>
          <w:ilvl w:val="0"/>
          <w:numId w:val="6"/>
        </w:numPr>
        <w:spacing w:line="360" w:lineRule="auto"/>
        <w:contextualSpacing/>
        <w:rPr>
          <w:rFonts w:ascii="Tahoma" w:hAnsi="Tahoma" w:cs="Tahoma"/>
          <w:b/>
          <w:sz w:val="24"/>
          <w:szCs w:val="24"/>
        </w:rPr>
      </w:pPr>
      <w:r w:rsidRPr="00E86386">
        <w:rPr>
          <w:rFonts w:ascii="Tahoma" w:hAnsi="Tahoma" w:cs="Tahoma"/>
          <w:b/>
          <w:sz w:val="24"/>
          <w:szCs w:val="24"/>
        </w:rPr>
        <w:t>Tiempo de respuesta promedio: 1 hora urbana 2 hora rural</w:t>
      </w:r>
    </w:p>
    <w:p w:rsidR="006E3927" w:rsidRPr="00E86386" w:rsidRDefault="006E3927" w:rsidP="006E3927">
      <w:pPr>
        <w:spacing w:line="360" w:lineRule="auto"/>
        <w:jc w:val="both"/>
        <w:rPr>
          <w:rFonts w:ascii="Tahoma" w:hAnsi="Tahoma" w:cs="Tahoma"/>
          <w:sz w:val="24"/>
          <w:szCs w:val="24"/>
        </w:rPr>
      </w:pPr>
      <w:r w:rsidRPr="00E86386">
        <w:rPr>
          <w:rFonts w:ascii="Tahoma" w:hAnsi="Tahoma" w:cs="Tahoma"/>
          <w:sz w:val="24"/>
          <w:szCs w:val="24"/>
        </w:rPr>
        <w:t xml:space="preserve">En las siguientes graficas se evidencia el número de denuncias que se han interpuesto en la Corporación Autónoma Regional del Quindío por tipo de denuncia, y posterior a ello el cuadro de relación por municipio. </w:t>
      </w:r>
    </w:p>
    <w:p w:rsidR="006E3927" w:rsidRDefault="006E3927" w:rsidP="006E3927">
      <w:pPr>
        <w:spacing w:after="0" w:line="276" w:lineRule="auto"/>
        <w:jc w:val="both"/>
        <w:rPr>
          <w:rFonts w:ascii="Arial" w:hAnsi="Arial" w:cs="Arial"/>
          <w:sz w:val="24"/>
          <w:szCs w:val="24"/>
        </w:rPr>
      </w:pPr>
      <w:r w:rsidRPr="001B0120">
        <w:rPr>
          <w:rFonts w:ascii="Arial" w:hAnsi="Arial" w:cs="Arial"/>
          <w:noProof/>
          <w:sz w:val="24"/>
          <w:szCs w:val="24"/>
          <w:lang w:eastAsia="es-CO"/>
        </w:rPr>
        <w:drawing>
          <wp:inline distT="0" distB="0" distL="0" distR="0">
            <wp:extent cx="5514975" cy="4105275"/>
            <wp:effectExtent l="19050" t="0" r="9525" b="0"/>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3927" w:rsidRPr="001B0120" w:rsidRDefault="006E3927" w:rsidP="006E3927">
      <w:pPr>
        <w:spacing w:after="0" w:line="276" w:lineRule="auto"/>
        <w:jc w:val="both"/>
        <w:rPr>
          <w:rFonts w:ascii="Arial" w:hAnsi="Arial" w:cs="Arial"/>
          <w:sz w:val="24"/>
          <w:szCs w:val="24"/>
        </w:rPr>
      </w:pPr>
    </w:p>
    <w:p w:rsidR="006E3927" w:rsidRPr="00E86386" w:rsidRDefault="006E3927" w:rsidP="006E3927">
      <w:pPr>
        <w:spacing w:after="0" w:line="360" w:lineRule="auto"/>
        <w:jc w:val="both"/>
        <w:rPr>
          <w:rFonts w:ascii="Tahoma" w:hAnsi="Tahoma" w:cs="Tahoma"/>
          <w:sz w:val="24"/>
          <w:szCs w:val="24"/>
        </w:rPr>
      </w:pPr>
      <w:r w:rsidRPr="00E86386">
        <w:rPr>
          <w:rFonts w:ascii="Tahoma" w:hAnsi="Tahoma" w:cs="Tahoma"/>
          <w:sz w:val="24"/>
          <w:szCs w:val="24"/>
        </w:rPr>
        <w:t>La anterior grafica demuestra que las denuncias con mayor participación son las denuncias de tipo forestal con un 44% del total, seguido de las denuncias por fauna silvestre y vertimientos con un 19% y 9% respectivamente.</w:t>
      </w:r>
    </w:p>
    <w:p w:rsidR="006E3927" w:rsidRPr="00E86386" w:rsidRDefault="006E3927" w:rsidP="006E3927">
      <w:pPr>
        <w:spacing w:after="0" w:line="360" w:lineRule="auto"/>
        <w:jc w:val="both"/>
        <w:rPr>
          <w:rFonts w:ascii="Tahoma" w:hAnsi="Tahoma" w:cs="Tahoma"/>
          <w:sz w:val="24"/>
          <w:szCs w:val="24"/>
        </w:rPr>
      </w:pPr>
    </w:p>
    <w:p w:rsidR="006E3927" w:rsidRPr="00E86386" w:rsidRDefault="006E3927" w:rsidP="006E3927">
      <w:pPr>
        <w:spacing w:after="0" w:line="360" w:lineRule="auto"/>
        <w:jc w:val="both"/>
        <w:rPr>
          <w:rFonts w:ascii="Tahoma" w:hAnsi="Tahoma" w:cs="Tahoma"/>
          <w:sz w:val="24"/>
          <w:szCs w:val="24"/>
        </w:rPr>
        <w:sectPr w:rsidR="006E3927" w:rsidRPr="00E86386" w:rsidSect="00A17BCD">
          <w:headerReference w:type="even" r:id="rId13"/>
          <w:headerReference w:type="default" r:id="rId14"/>
          <w:headerReference w:type="first" r:id="rId15"/>
          <w:pgSz w:w="12240" w:h="15840"/>
          <w:pgMar w:top="1417" w:right="1701" w:bottom="1417" w:left="1701" w:header="708" w:footer="708" w:gutter="0"/>
          <w:cols w:space="708"/>
          <w:docGrid w:linePitch="360"/>
        </w:sectPr>
      </w:pPr>
      <w:r w:rsidRPr="00E86386">
        <w:rPr>
          <w:rFonts w:ascii="Tahoma" w:hAnsi="Tahoma" w:cs="Tahoma"/>
          <w:sz w:val="24"/>
          <w:szCs w:val="24"/>
        </w:rPr>
        <w:t>Ahora bien, en el cuadro que se relaciona a continuación, se ve claramente que armenia contempla la mayor cantidad de denuncias con un 55% del total, seguido por Circasia, Calarcá, La tebaida y Montenegro con un 8,6%; 7,1%; 6,8% y 5,5% respectivamente; los municipios donde menos denuncias se radicaron fueron Córdoba y Génova.</w:t>
      </w:r>
    </w:p>
    <w:p w:rsidR="006E3927" w:rsidRPr="001B0120" w:rsidRDefault="006E3927" w:rsidP="006E3927">
      <w:pPr>
        <w:spacing w:after="0" w:line="276" w:lineRule="auto"/>
        <w:jc w:val="both"/>
        <w:rPr>
          <w:rFonts w:ascii="Arial" w:hAnsi="Arial" w:cs="Arial"/>
          <w:sz w:val="24"/>
          <w:szCs w:val="24"/>
        </w:rPr>
      </w:pPr>
    </w:p>
    <w:p w:rsidR="006E3927" w:rsidRPr="001B0120" w:rsidRDefault="006E3927" w:rsidP="006E3927">
      <w:pPr>
        <w:spacing w:after="0" w:line="276" w:lineRule="auto"/>
        <w:jc w:val="center"/>
        <w:rPr>
          <w:rFonts w:ascii="Arial" w:hAnsi="Arial" w:cs="Arial"/>
          <w:sz w:val="24"/>
          <w:szCs w:val="24"/>
        </w:rPr>
      </w:pPr>
      <w:r>
        <w:rPr>
          <w:rFonts w:ascii="Arial" w:hAnsi="Arial" w:cs="Arial"/>
          <w:noProof/>
          <w:sz w:val="24"/>
          <w:szCs w:val="24"/>
          <w:lang w:eastAsia="es-CO"/>
        </w:rPr>
        <w:drawing>
          <wp:inline distT="0" distB="0" distL="0" distR="0">
            <wp:extent cx="8379390" cy="42438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8387284" cy="4247817"/>
                    </a:xfrm>
                    <a:prstGeom prst="rect">
                      <a:avLst/>
                    </a:prstGeom>
                    <a:noFill/>
                  </pic:spPr>
                </pic:pic>
              </a:graphicData>
            </a:graphic>
          </wp:inline>
        </w:drawing>
      </w:r>
    </w:p>
    <w:p w:rsidR="006E3927" w:rsidRPr="001B0120" w:rsidRDefault="006E3927" w:rsidP="006E3927">
      <w:pPr>
        <w:rPr>
          <w:rFonts w:ascii="Arial" w:hAnsi="Arial" w:cs="Arial"/>
          <w:sz w:val="24"/>
          <w:szCs w:val="24"/>
        </w:rPr>
      </w:pPr>
    </w:p>
    <w:p w:rsidR="006E3927" w:rsidRPr="001B0120" w:rsidRDefault="006E3927" w:rsidP="006E3927">
      <w:pPr>
        <w:rPr>
          <w:rFonts w:ascii="Arial" w:hAnsi="Arial" w:cs="Arial"/>
          <w:sz w:val="24"/>
          <w:szCs w:val="24"/>
        </w:rPr>
      </w:pPr>
    </w:p>
    <w:p w:rsidR="006E3927" w:rsidRPr="001B0120" w:rsidRDefault="006E3927" w:rsidP="006E3927">
      <w:pPr>
        <w:rPr>
          <w:rFonts w:ascii="Arial" w:hAnsi="Arial" w:cs="Arial"/>
          <w:sz w:val="24"/>
          <w:szCs w:val="24"/>
        </w:rPr>
      </w:pPr>
    </w:p>
    <w:p w:rsidR="006E3927" w:rsidRPr="001B0120" w:rsidRDefault="006E3927" w:rsidP="006E3927">
      <w:pPr>
        <w:rPr>
          <w:rFonts w:ascii="Arial" w:hAnsi="Arial" w:cs="Arial"/>
          <w:sz w:val="24"/>
          <w:szCs w:val="24"/>
        </w:rPr>
      </w:pPr>
    </w:p>
    <w:p w:rsidR="006E3927" w:rsidRPr="001B0120" w:rsidRDefault="006E3927" w:rsidP="006E3927">
      <w:pPr>
        <w:rPr>
          <w:rFonts w:ascii="Arial" w:hAnsi="Arial" w:cs="Arial"/>
          <w:sz w:val="24"/>
          <w:szCs w:val="24"/>
        </w:rPr>
        <w:sectPr w:rsidR="006E3927" w:rsidRPr="001B0120" w:rsidSect="00E01EC3">
          <w:pgSz w:w="15840" w:h="12240" w:orient="landscape"/>
          <w:pgMar w:top="1701" w:right="1418" w:bottom="1701" w:left="1418" w:header="709" w:footer="709" w:gutter="0"/>
          <w:cols w:space="708"/>
          <w:docGrid w:linePitch="360"/>
        </w:sectPr>
      </w:pPr>
    </w:p>
    <w:p w:rsidR="006E3927" w:rsidRPr="00E86386" w:rsidRDefault="006E3927" w:rsidP="006E3927">
      <w:pPr>
        <w:spacing w:line="360" w:lineRule="auto"/>
        <w:jc w:val="both"/>
        <w:rPr>
          <w:rFonts w:ascii="Tahoma" w:hAnsi="Tahoma" w:cs="Tahoma"/>
          <w:sz w:val="24"/>
          <w:szCs w:val="24"/>
        </w:rPr>
      </w:pPr>
      <w:r w:rsidRPr="001B0120">
        <w:rPr>
          <w:rFonts w:ascii="Arial" w:hAnsi="Arial" w:cs="Arial"/>
          <w:noProof/>
          <w:sz w:val="24"/>
          <w:szCs w:val="24"/>
          <w:lang w:eastAsia="es-CO"/>
        </w:rPr>
        <w:lastRenderedPageBreak/>
        <w:drawing>
          <wp:inline distT="0" distB="0" distL="0" distR="0">
            <wp:extent cx="5755005" cy="4962525"/>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57063" cy="4959705"/>
                    </a:xfrm>
                    <a:prstGeom prst="rect">
                      <a:avLst/>
                    </a:prstGeom>
                    <a:noFill/>
                  </pic:spPr>
                </pic:pic>
              </a:graphicData>
            </a:graphic>
          </wp:inline>
        </w:drawing>
      </w:r>
      <w:r w:rsidRPr="00E86386">
        <w:rPr>
          <w:rFonts w:ascii="Tahoma" w:hAnsi="Tahoma" w:cs="Tahoma"/>
          <w:bCs/>
          <w:sz w:val="24"/>
          <w:szCs w:val="24"/>
        </w:rPr>
        <w:t>Entre el 01 de enero al 30 de septiembre se ha presentado un aumento de denuncias del 261%, esto se debe a la mayor cobertura presentada por la CRQ en el Departamento gracias a las estrategias UGA (Unidad de Gestión Ambiental) y URIA (Unidad de Reacción Inmediata Ambiental), las cuales se encuentran en cada uno de los municipios del Departamento prestando diferentes servicios, entre ellos la atención a denuncias de manera inmediata.</w:t>
      </w:r>
    </w:p>
    <w:p w:rsidR="006E3927" w:rsidRPr="00E86386" w:rsidRDefault="006E3927" w:rsidP="006E3927">
      <w:pPr>
        <w:spacing w:line="360" w:lineRule="auto"/>
        <w:jc w:val="both"/>
        <w:rPr>
          <w:rFonts w:ascii="Tahoma" w:hAnsi="Tahoma" w:cs="Tahoma"/>
          <w:sz w:val="24"/>
          <w:szCs w:val="24"/>
        </w:rPr>
      </w:pPr>
      <w:r w:rsidRPr="00E86386">
        <w:rPr>
          <w:rFonts w:ascii="Tahoma" w:hAnsi="Tahoma" w:cs="Tahoma"/>
          <w:bCs/>
          <w:sz w:val="24"/>
          <w:szCs w:val="24"/>
        </w:rPr>
        <w:t>Así pues, se está evidenciando que la ciudadanía está aumentando la credibilidad de la atención a las denuncias por parte de la CRQ y por ende también se están a</w:t>
      </w:r>
      <w:r w:rsidR="00F209EE" w:rsidRPr="00E86386">
        <w:rPr>
          <w:rFonts w:ascii="Tahoma" w:hAnsi="Tahoma" w:cs="Tahoma"/>
          <w:bCs/>
          <w:sz w:val="24"/>
          <w:szCs w:val="24"/>
        </w:rPr>
        <w:t>umentando el número de ciudadanos que velan por la protección ambiental</w:t>
      </w:r>
      <w:r w:rsidRPr="00E86386">
        <w:rPr>
          <w:rFonts w:ascii="Tahoma" w:hAnsi="Tahoma" w:cs="Tahoma"/>
          <w:bCs/>
          <w:sz w:val="24"/>
          <w:szCs w:val="24"/>
        </w:rPr>
        <w:t xml:space="preserve">. </w:t>
      </w:r>
    </w:p>
    <w:p w:rsidR="006E3927" w:rsidRDefault="006E3927" w:rsidP="006E3927">
      <w:pPr>
        <w:jc w:val="center"/>
        <w:rPr>
          <w:rFonts w:ascii="Arial" w:hAnsi="Arial" w:cs="Arial"/>
          <w:b/>
          <w:bCs/>
          <w:noProof/>
          <w:sz w:val="24"/>
          <w:szCs w:val="24"/>
          <w:lang w:eastAsia="es-CO"/>
        </w:rPr>
      </w:pPr>
    </w:p>
    <w:p w:rsidR="001929A7" w:rsidRDefault="001929A7" w:rsidP="006E3927">
      <w:pPr>
        <w:jc w:val="center"/>
        <w:rPr>
          <w:rFonts w:ascii="Arial" w:hAnsi="Arial" w:cs="Arial"/>
          <w:b/>
          <w:bCs/>
          <w:noProof/>
          <w:sz w:val="24"/>
          <w:szCs w:val="24"/>
          <w:lang w:eastAsia="es-CO"/>
        </w:rPr>
      </w:pPr>
    </w:p>
    <w:p w:rsidR="001929A7" w:rsidRDefault="001929A7" w:rsidP="006E3927">
      <w:pPr>
        <w:jc w:val="center"/>
        <w:rPr>
          <w:rFonts w:ascii="Arial" w:hAnsi="Arial" w:cs="Arial"/>
          <w:b/>
          <w:bCs/>
          <w:sz w:val="24"/>
          <w:szCs w:val="24"/>
        </w:rPr>
      </w:pPr>
      <w:r>
        <w:rPr>
          <w:rFonts w:ascii="Arial" w:hAnsi="Arial" w:cs="Arial"/>
          <w:b/>
          <w:bCs/>
          <w:noProof/>
          <w:sz w:val="24"/>
          <w:szCs w:val="24"/>
          <w:lang w:eastAsia="es-CO"/>
        </w:rPr>
        <w:lastRenderedPageBreak/>
        <w:drawing>
          <wp:inline distT="0" distB="0" distL="0" distR="0">
            <wp:extent cx="4448175" cy="2190750"/>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448175" cy="2190750"/>
                    </a:xfrm>
                    <a:prstGeom prst="rect">
                      <a:avLst/>
                    </a:prstGeom>
                    <a:noFill/>
                    <a:ln w="9525">
                      <a:noFill/>
                      <a:miter lim="800000"/>
                      <a:headEnd/>
                      <a:tailEnd/>
                    </a:ln>
                  </pic:spPr>
                </pic:pic>
              </a:graphicData>
            </a:graphic>
          </wp:inline>
        </w:drawing>
      </w:r>
    </w:p>
    <w:p w:rsidR="006E3927" w:rsidRPr="00E86386" w:rsidRDefault="006E3927" w:rsidP="006E3927">
      <w:pPr>
        <w:spacing w:line="360" w:lineRule="auto"/>
        <w:jc w:val="both"/>
        <w:rPr>
          <w:rFonts w:ascii="Tahoma" w:hAnsi="Tahoma" w:cs="Tahoma"/>
          <w:b/>
          <w:bCs/>
          <w:sz w:val="24"/>
          <w:szCs w:val="24"/>
        </w:rPr>
      </w:pPr>
      <w:r w:rsidRPr="00E86386">
        <w:rPr>
          <w:rFonts w:ascii="Tahoma" w:hAnsi="Tahoma" w:cs="Tahoma"/>
          <w:bCs/>
          <w:sz w:val="24"/>
          <w:szCs w:val="24"/>
        </w:rPr>
        <w:t xml:space="preserve">A continuación se presenta el comparativo entre los municipios con mayor cantidad de denuncias presentadas; en donde claramente se evidencia que la ciudad de armenia </w:t>
      </w:r>
      <w:r w:rsidR="00955A16" w:rsidRPr="00E86386">
        <w:rPr>
          <w:rFonts w:ascii="Tahoma" w:hAnsi="Tahoma" w:cs="Tahoma"/>
          <w:bCs/>
          <w:sz w:val="24"/>
          <w:szCs w:val="24"/>
        </w:rPr>
        <w:t xml:space="preserve">en las denuncias de tipo forestal está por encima de los demás municipios, </w:t>
      </w:r>
      <w:r w:rsidRPr="00E86386">
        <w:rPr>
          <w:rFonts w:ascii="Tahoma" w:hAnsi="Tahoma" w:cs="Tahoma"/>
          <w:bCs/>
          <w:sz w:val="24"/>
          <w:szCs w:val="24"/>
        </w:rPr>
        <w:t>a excepción de fauna y vertimientos donde Calarcá está por encima del promedio general y el caracol africano con gran presencia en el municipio de Montenegro.</w:t>
      </w:r>
    </w:p>
    <w:p w:rsidR="006E3927" w:rsidRDefault="006E3927" w:rsidP="006E3927">
      <w:pPr>
        <w:jc w:val="center"/>
        <w:rPr>
          <w:rFonts w:ascii="Arial" w:hAnsi="Arial" w:cs="Arial"/>
          <w:b/>
          <w:bCs/>
          <w:noProof/>
          <w:sz w:val="24"/>
          <w:szCs w:val="24"/>
          <w:lang w:eastAsia="es-CO"/>
        </w:rPr>
      </w:pPr>
    </w:p>
    <w:p w:rsidR="006E3927" w:rsidRDefault="006E3927" w:rsidP="006E3927">
      <w:pPr>
        <w:rPr>
          <w:rFonts w:ascii="Arial" w:hAnsi="Arial" w:cs="Arial"/>
          <w:b/>
          <w:bCs/>
          <w:sz w:val="24"/>
          <w:szCs w:val="24"/>
        </w:rPr>
      </w:pPr>
      <w:r>
        <w:rPr>
          <w:rFonts w:ascii="Arial" w:hAnsi="Arial" w:cs="Arial"/>
          <w:b/>
          <w:bCs/>
          <w:noProof/>
          <w:sz w:val="24"/>
          <w:szCs w:val="24"/>
          <w:lang w:eastAsia="es-CO"/>
        </w:rPr>
        <w:drawing>
          <wp:inline distT="0" distB="0" distL="0" distR="0">
            <wp:extent cx="6177359" cy="2886075"/>
            <wp:effectExtent l="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195186" cy="2894404"/>
                    </a:xfrm>
                    <a:prstGeom prst="rect">
                      <a:avLst/>
                    </a:prstGeom>
                    <a:noFill/>
                  </pic:spPr>
                </pic:pic>
              </a:graphicData>
            </a:graphic>
          </wp:inline>
        </w:drawing>
      </w:r>
    </w:p>
    <w:p w:rsidR="00955A16" w:rsidRDefault="00955A16" w:rsidP="006E3927">
      <w:pPr>
        <w:spacing w:line="360" w:lineRule="auto"/>
        <w:jc w:val="both"/>
        <w:rPr>
          <w:rFonts w:ascii="Arial" w:hAnsi="Arial" w:cs="Arial"/>
          <w:bCs/>
          <w:sz w:val="24"/>
          <w:szCs w:val="24"/>
        </w:rPr>
      </w:pPr>
    </w:p>
    <w:p w:rsidR="00955A16" w:rsidRDefault="00955A16" w:rsidP="006E3927">
      <w:pPr>
        <w:spacing w:line="360" w:lineRule="auto"/>
        <w:jc w:val="both"/>
        <w:rPr>
          <w:rFonts w:ascii="Arial" w:hAnsi="Arial" w:cs="Arial"/>
          <w:bCs/>
          <w:sz w:val="24"/>
          <w:szCs w:val="24"/>
        </w:rPr>
      </w:pPr>
    </w:p>
    <w:p w:rsidR="006E3927" w:rsidRPr="00E86386" w:rsidRDefault="006E3927" w:rsidP="006E3927">
      <w:pPr>
        <w:spacing w:line="360" w:lineRule="auto"/>
        <w:jc w:val="both"/>
        <w:rPr>
          <w:rFonts w:ascii="Tahoma" w:hAnsi="Tahoma" w:cs="Tahoma"/>
          <w:b/>
          <w:bCs/>
          <w:sz w:val="24"/>
          <w:szCs w:val="24"/>
        </w:rPr>
      </w:pPr>
      <w:r w:rsidRPr="00E86386">
        <w:rPr>
          <w:rFonts w:ascii="Tahoma" w:hAnsi="Tahoma" w:cs="Tahoma"/>
          <w:bCs/>
          <w:sz w:val="24"/>
          <w:szCs w:val="24"/>
        </w:rPr>
        <w:lastRenderedPageBreak/>
        <w:t>Ahora bien, haciendo el comparativo del último trimestre, se</w:t>
      </w:r>
      <w:r w:rsidR="00955A16" w:rsidRPr="00E86386">
        <w:rPr>
          <w:rFonts w:ascii="Tahoma" w:hAnsi="Tahoma" w:cs="Tahoma"/>
          <w:bCs/>
          <w:sz w:val="24"/>
          <w:szCs w:val="24"/>
        </w:rPr>
        <w:t xml:space="preserve"> ve claramente el aumento en los diferentes tipos</w:t>
      </w:r>
      <w:r w:rsidRPr="00E86386">
        <w:rPr>
          <w:rFonts w:ascii="Tahoma" w:hAnsi="Tahoma" w:cs="Tahoma"/>
          <w:bCs/>
          <w:sz w:val="24"/>
          <w:szCs w:val="24"/>
        </w:rPr>
        <w:t xml:space="preserve"> </w:t>
      </w:r>
      <w:r w:rsidR="00955A16" w:rsidRPr="00E86386">
        <w:rPr>
          <w:rFonts w:ascii="Tahoma" w:hAnsi="Tahoma" w:cs="Tahoma"/>
          <w:bCs/>
          <w:sz w:val="24"/>
          <w:szCs w:val="24"/>
        </w:rPr>
        <w:t xml:space="preserve">de </w:t>
      </w:r>
      <w:r w:rsidRPr="00E86386">
        <w:rPr>
          <w:rFonts w:ascii="Tahoma" w:hAnsi="Tahoma" w:cs="Tahoma"/>
          <w:bCs/>
          <w:sz w:val="24"/>
          <w:szCs w:val="24"/>
        </w:rPr>
        <w:t>denuncias</w:t>
      </w:r>
      <w:r w:rsidR="00955A16" w:rsidRPr="00E86386">
        <w:rPr>
          <w:rFonts w:ascii="Tahoma" w:hAnsi="Tahoma" w:cs="Tahoma"/>
          <w:bCs/>
          <w:sz w:val="24"/>
          <w:szCs w:val="24"/>
        </w:rPr>
        <w:t>,</w:t>
      </w:r>
      <w:r w:rsidRPr="00E86386">
        <w:rPr>
          <w:rFonts w:ascii="Tahoma" w:hAnsi="Tahoma" w:cs="Tahoma"/>
          <w:bCs/>
          <w:sz w:val="24"/>
          <w:szCs w:val="24"/>
        </w:rPr>
        <w:t xml:space="preserve"> a excepción de las denuncias sobre especies invasoras y las de tipo piscícola</w:t>
      </w:r>
      <w:r w:rsidR="00955A16" w:rsidRPr="00E86386">
        <w:rPr>
          <w:rFonts w:ascii="Tahoma" w:hAnsi="Tahoma" w:cs="Tahoma"/>
          <w:bCs/>
          <w:sz w:val="24"/>
          <w:szCs w:val="24"/>
        </w:rPr>
        <w:t xml:space="preserve"> que presentaron una disminución en ellas. </w:t>
      </w:r>
    </w:p>
    <w:p w:rsidR="006E3927" w:rsidRDefault="006E3927" w:rsidP="006E3927">
      <w:pPr>
        <w:rPr>
          <w:rFonts w:ascii="Arial" w:hAnsi="Arial" w:cs="Arial"/>
          <w:bCs/>
          <w:sz w:val="24"/>
          <w:szCs w:val="24"/>
          <w:lang w:val="es-ES"/>
        </w:rPr>
      </w:pPr>
      <w:r w:rsidRPr="001B0120">
        <w:rPr>
          <w:rFonts w:ascii="Arial" w:hAnsi="Arial" w:cs="Arial"/>
          <w:b/>
          <w:bCs/>
          <w:noProof/>
          <w:sz w:val="24"/>
          <w:szCs w:val="24"/>
          <w:lang w:eastAsia="es-CO"/>
        </w:rPr>
        <w:drawing>
          <wp:inline distT="0" distB="0" distL="0" distR="0">
            <wp:extent cx="5462758" cy="2596896"/>
            <wp:effectExtent l="19050" t="0" r="4592"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461572" cy="2596332"/>
                    </a:xfrm>
                    <a:prstGeom prst="rect">
                      <a:avLst/>
                    </a:prstGeom>
                    <a:noFill/>
                    <a:ln w="9525">
                      <a:noFill/>
                      <a:miter lim="800000"/>
                      <a:headEnd/>
                      <a:tailEnd/>
                    </a:ln>
                  </pic:spPr>
                </pic:pic>
              </a:graphicData>
            </a:graphic>
          </wp:inline>
        </w:drawing>
      </w:r>
    </w:p>
    <w:p w:rsidR="006E3927" w:rsidRPr="00E86386" w:rsidRDefault="006E3927" w:rsidP="006E3927">
      <w:pPr>
        <w:spacing w:line="360" w:lineRule="auto"/>
        <w:jc w:val="both"/>
        <w:rPr>
          <w:rFonts w:ascii="Tahoma" w:hAnsi="Tahoma" w:cs="Tahoma"/>
          <w:bCs/>
          <w:sz w:val="24"/>
          <w:szCs w:val="24"/>
          <w:lang w:val="es-ES"/>
        </w:rPr>
      </w:pPr>
      <w:r w:rsidRPr="00E86386">
        <w:rPr>
          <w:rFonts w:ascii="Tahoma" w:hAnsi="Tahoma" w:cs="Tahoma"/>
          <w:bCs/>
          <w:sz w:val="24"/>
          <w:szCs w:val="24"/>
          <w:lang w:val="es-ES"/>
        </w:rPr>
        <w:t>El 56% de las denuncias recibidas se presentan en el sector rural, a excepción de armenia donde la mayor cantidad de denuncias se presentan en el sector urbano específicamente en la zona sur del municipio.</w:t>
      </w:r>
    </w:p>
    <w:p w:rsidR="006E3927" w:rsidRPr="00F51EE9" w:rsidRDefault="006E3927" w:rsidP="006E3927">
      <w:pPr>
        <w:ind w:left="-851"/>
        <w:jc w:val="both"/>
        <w:rPr>
          <w:rFonts w:ascii="Arial" w:hAnsi="Arial" w:cs="Arial"/>
          <w:b/>
          <w:bCs/>
          <w:sz w:val="24"/>
          <w:szCs w:val="24"/>
        </w:rPr>
      </w:pPr>
    </w:p>
    <w:p w:rsidR="006E3927" w:rsidRDefault="006E3927" w:rsidP="006E3927">
      <w:pPr>
        <w:jc w:val="center"/>
        <w:rPr>
          <w:rFonts w:ascii="Arial" w:hAnsi="Arial" w:cs="Arial"/>
          <w:sz w:val="24"/>
          <w:szCs w:val="24"/>
        </w:rPr>
      </w:pPr>
      <w:r w:rsidRPr="001B0120">
        <w:rPr>
          <w:rFonts w:ascii="Arial" w:hAnsi="Arial" w:cs="Arial"/>
          <w:bCs/>
          <w:noProof/>
          <w:sz w:val="24"/>
          <w:szCs w:val="24"/>
          <w:lang w:eastAsia="es-CO"/>
        </w:rPr>
        <w:drawing>
          <wp:inline distT="0" distB="0" distL="0" distR="0">
            <wp:extent cx="3338627" cy="1967789"/>
            <wp:effectExtent l="19050" t="0" r="14173" b="0"/>
            <wp:docPr id="44" name="Gráfico 2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53FC6BF-588B-4A3D-ABEF-BBD8120A9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3927" w:rsidRPr="001B0120" w:rsidRDefault="006E3927" w:rsidP="006E3927">
      <w:pPr>
        <w:ind w:left="2126"/>
        <w:rPr>
          <w:rFonts w:ascii="Arial" w:hAnsi="Arial" w:cs="Arial"/>
          <w:bCs/>
          <w:sz w:val="24"/>
          <w:szCs w:val="24"/>
          <w:lang w:val="es-ES"/>
        </w:rPr>
      </w:pPr>
      <w:r>
        <w:rPr>
          <w:rFonts w:ascii="Arial" w:hAnsi="Arial" w:cs="Arial"/>
          <w:bCs/>
          <w:noProof/>
          <w:sz w:val="24"/>
          <w:szCs w:val="24"/>
          <w:lang w:eastAsia="es-CO"/>
        </w:rPr>
        <w:lastRenderedPageBreak/>
        <w:t xml:space="preserve"> </w:t>
      </w:r>
      <w:r w:rsidRPr="001B0120">
        <w:rPr>
          <w:rFonts w:ascii="Arial" w:hAnsi="Arial" w:cs="Arial"/>
          <w:bCs/>
          <w:noProof/>
          <w:sz w:val="24"/>
          <w:szCs w:val="24"/>
          <w:lang w:eastAsia="es-CO"/>
        </w:rPr>
        <w:drawing>
          <wp:inline distT="0" distB="0" distL="0" distR="0">
            <wp:extent cx="2424227" cy="2560320"/>
            <wp:effectExtent l="19050" t="0" r="0" b="0"/>
            <wp:docPr id="45" name="Imagen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58AF8EC-D091-48FE-A877-D34FA64B41F2}"/>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58AF8EC-D091-48FE-A877-D34FA64B41F2}"/>
                        </a:ext>
                      </a:extLst>
                    </pic:cNvPr>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4471" cy="2560577"/>
                    </a:xfrm>
                    <a:prstGeom prst="rect">
                      <a:avLst/>
                    </a:prstGeom>
                  </pic:spPr>
                </pic:pic>
              </a:graphicData>
            </a:graphic>
          </wp:inline>
        </w:drawing>
      </w:r>
    </w:p>
    <w:p w:rsidR="006E3927" w:rsidRPr="001B0120" w:rsidRDefault="006E3927" w:rsidP="006E3927">
      <w:pPr>
        <w:jc w:val="center"/>
        <w:rPr>
          <w:rFonts w:ascii="Arial" w:hAnsi="Arial" w:cs="Arial"/>
          <w:bCs/>
          <w:sz w:val="24"/>
          <w:szCs w:val="24"/>
          <w:lang w:val="es-ES"/>
        </w:rPr>
      </w:pPr>
    </w:p>
    <w:p w:rsidR="006E3927" w:rsidRPr="00E86386" w:rsidRDefault="006E3927" w:rsidP="006E3927">
      <w:pPr>
        <w:spacing w:line="360" w:lineRule="auto"/>
        <w:jc w:val="both"/>
        <w:rPr>
          <w:rFonts w:ascii="Tahoma" w:hAnsi="Tahoma" w:cs="Tahoma"/>
          <w:sz w:val="24"/>
          <w:szCs w:val="24"/>
          <w:lang w:val="es-ES"/>
        </w:rPr>
      </w:pPr>
      <w:r w:rsidRPr="00E86386">
        <w:rPr>
          <w:rFonts w:ascii="Tahoma" w:hAnsi="Tahoma" w:cs="Tahoma"/>
          <w:sz w:val="24"/>
          <w:szCs w:val="24"/>
          <w:lang w:val="es-ES"/>
        </w:rPr>
        <w:t>El 67% de judicializaciones se presenta en el sector forestal, seguido por el sector minero y fauna silvestre con un 22% y 11% respectivamente.</w:t>
      </w:r>
    </w:p>
    <w:p w:rsidR="006E3927" w:rsidRPr="001B0120" w:rsidRDefault="006E3927" w:rsidP="006E3927">
      <w:pPr>
        <w:rPr>
          <w:rFonts w:ascii="Arial" w:hAnsi="Arial" w:cs="Arial"/>
          <w:sz w:val="24"/>
          <w:szCs w:val="24"/>
          <w:lang w:val="es-ES"/>
        </w:rPr>
      </w:pPr>
    </w:p>
    <w:p w:rsidR="006E3927" w:rsidRDefault="006E3927" w:rsidP="006E3927">
      <w:pPr>
        <w:jc w:val="center"/>
        <w:rPr>
          <w:rFonts w:ascii="Arial" w:hAnsi="Arial" w:cs="Arial"/>
          <w:bCs/>
          <w:sz w:val="24"/>
          <w:szCs w:val="24"/>
          <w:lang w:val="es-ES"/>
        </w:rPr>
      </w:pPr>
      <w:r w:rsidRPr="001B0120">
        <w:rPr>
          <w:rFonts w:ascii="Arial" w:hAnsi="Arial" w:cs="Arial"/>
          <w:bCs/>
          <w:noProof/>
          <w:sz w:val="24"/>
          <w:szCs w:val="24"/>
          <w:lang w:eastAsia="es-CO"/>
        </w:rPr>
        <w:drawing>
          <wp:inline distT="0" distB="0" distL="0" distR="0">
            <wp:extent cx="3364408" cy="2531059"/>
            <wp:effectExtent l="19050" t="0" r="26492" b="2591"/>
            <wp:docPr id="46" name="Gráfico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E2964DE-1E73-425A-9CF4-EF3115250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3927" w:rsidRPr="001B0120" w:rsidRDefault="006E3927" w:rsidP="006E3927">
      <w:pPr>
        <w:jc w:val="center"/>
        <w:rPr>
          <w:rFonts w:ascii="Arial" w:hAnsi="Arial" w:cs="Arial"/>
          <w:bCs/>
          <w:sz w:val="24"/>
          <w:szCs w:val="24"/>
          <w:lang w:val="es-ES"/>
        </w:rPr>
      </w:pPr>
      <w:r w:rsidRPr="001B0120">
        <w:rPr>
          <w:rFonts w:ascii="Arial" w:hAnsi="Arial" w:cs="Arial"/>
          <w:bCs/>
          <w:noProof/>
          <w:sz w:val="24"/>
          <w:szCs w:val="24"/>
          <w:lang w:eastAsia="es-CO"/>
        </w:rPr>
        <w:lastRenderedPageBreak/>
        <w:drawing>
          <wp:inline distT="0" distB="0" distL="0" distR="0">
            <wp:extent cx="3304616" cy="1858061"/>
            <wp:effectExtent l="19050" t="0" r="0" b="0"/>
            <wp:docPr id="47" name="Imagen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091BF21-60F5-4555-B0B0-171CB571E85F}"/>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091BF21-60F5-4555-B0B0-171CB571E85F}"/>
                        </a:ext>
                      </a:extLst>
                    </pic:cNvPr>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4025" cy="1863351"/>
                    </a:xfrm>
                    <a:prstGeom prst="rect">
                      <a:avLst/>
                    </a:prstGeom>
                  </pic:spPr>
                </pic:pic>
              </a:graphicData>
            </a:graphic>
          </wp:inline>
        </w:drawing>
      </w:r>
    </w:p>
    <w:p w:rsidR="006E3927" w:rsidRDefault="006E3927" w:rsidP="006E3927">
      <w:pPr>
        <w:rPr>
          <w:rFonts w:ascii="Arial" w:hAnsi="Arial" w:cs="Arial"/>
          <w:bCs/>
          <w:sz w:val="24"/>
          <w:szCs w:val="24"/>
          <w:lang w:val="es-ES"/>
        </w:rPr>
      </w:pPr>
    </w:p>
    <w:p w:rsidR="006E3927" w:rsidRPr="00E86386" w:rsidRDefault="006E3927" w:rsidP="006E3927">
      <w:pPr>
        <w:rPr>
          <w:rFonts w:ascii="Tahoma" w:hAnsi="Tahoma" w:cs="Tahoma"/>
          <w:b/>
          <w:bCs/>
          <w:iCs/>
          <w:sz w:val="24"/>
          <w:szCs w:val="24"/>
        </w:rPr>
      </w:pPr>
      <w:r w:rsidRPr="00E86386">
        <w:rPr>
          <w:rFonts w:ascii="Tahoma" w:hAnsi="Tahoma" w:cs="Tahoma"/>
          <w:b/>
          <w:bCs/>
          <w:iCs/>
          <w:sz w:val="24"/>
          <w:szCs w:val="24"/>
        </w:rPr>
        <w:t>Resultado Unidad de Reacción Inmediata Ambiental</w:t>
      </w:r>
    </w:p>
    <w:p w:rsidR="006E3927" w:rsidRPr="00E86386" w:rsidRDefault="006E3927" w:rsidP="006E3927">
      <w:pPr>
        <w:rPr>
          <w:rFonts w:ascii="Tahoma" w:hAnsi="Tahoma" w:cs="Tahoma"/>
          <w:sz w:val="24"/>
          <w:szCs w:val="24"/>
        </w:rPr>
      </w:pPr>
      <w:r w:rsidRPr="00E86386">
        <w:rPr>
          <w:rFonts w:ascii="Tahoma" w:hAnsi="Tahoma" w:cs="Tahoma"/>
          <w:b/>
          <w:bCs/>
          <w:i/>
          <w:iCs/>
          <w:sz w:val="24"/>
          <w:szCs w:val="24"/>
        </w:rPr>
        <w:t>ANTES:</w:t>
      </w:r>
    </w:p>
    <w:p w:rsidR="006E3927" w:rsidRPr="00E86386" w:rsidRDefault="006E3927" w:rsidP="006E3927">
      <w:pPr>
        <w:numPr>
          <w:ilvl w:val="0"/>
          <w:numId w:val="8"/>
        </w:numPr>
        <w:spacing w:line="360" w:lineRule="auto"/>
        <w:jc w:val="both"/>
        <w:rPr>
          <w:rFonts w:ascii="Tahoma" w:hAnsi="Tahoma" w:cs="Tahoma"/>
          <w:sz w:val="24"/>
          <w:szCs w:val="24"/>
        </w:rPr>
      </w:pPr>
      <w:r w:rsidRPr="00E86386">
        <w:rPr>
          <w:rFonts w:ascii="Tahoma" w:hAnsi="Tahoma" w:cs="Tahoma"/>
          <w:sz w:val="24"/>
          <w:szCs w:val="24"/>
        </w:rPr>
        <w:t>Porcentaje de efectividad de atención de denuncias antes de la URIA</w:t>
      </w:r>
    </w:p>
    <w:p w:rsidR="006E3927" w:rsidRPr="001B0120" w:rsidRDefault="006E3927" w:rsidP="006E3927">
      <w:pPr>
        <w:rPr>
          <w:rFonts w:ascii="Arial" w:hAnsi="Arial" w:cs="Arial"/>
          <w:sz w:val="24"/>
          <w:szCs w:val="24"/>
        </w:rPr>
      </w:pPr>
      <w:r w:rsidRPr="001B0120">
        <w:rPr>
          <w:rFonts w:ascii="Arial" w:hAnsi="Arial" w:cs="Arial"/>
          <w:noProof/>
          <w:sz w:val="24"/>
          <w:szCs w:val="24"/>
          <w:lang w:eastAsia="es-CO"/>
        </w:rPr>
        <w:drawing>
          <wp:inline distT="0" distB="0" distL="0" distR="0">
            <wp:extent cx="3657600" cy="1486166"/>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654560" cy="1484931"/>
                    </a:xfrm>
                    <a:prstGeom prst="rect">
                      <a:avLst/>
                    </a:prstGeom>
                    <a:noFill/>
                    <a:ln w="9525">
                      <a:noFill/>
                      <a:miter lim="800000"/>
                      <a:headEnd/>
                      <a:tailEnd/>
                    </a:ln>
                  </pic:spPr>
                </pic:pic>
              </a:graphicData>
            </a:graphic>
          </wp:inline>
        </w:drawing>
      </w:r>
    </w:p>
    <w:p w:rsidR="006E3927" w:rsidRPr="00E86386" w:rsidRDefault="006E3927" w:rsidP="006E3927">
      <w:pPr>
        <w:rPr>
          <w:rFonts w:ascii="Tahoma" w:hAnsi="Tahoma" w:cs="Tahoma"/>
          <w:sz w:val="24"/>
          <w:szCs w:val="24"/>
        </w:rPr>
      </w:pPr>
      <w:r w:rsidRPr="00E86386">
        <w:rPr>
          <w:rFonts w:ascii="Tahoma" w:hAnsi="Tahoma" w:cs="Tahoma"/>
          <w:b/>
          <w:bCs/>
          <w:i/>
          <w:iCs/>
          <w:sz w:val="24"/>
          <w:szCs w:val="24"/>
        </w:rPr>
        <w:t xml:space="preserve">DESPUES </w:t>
      </w:r>
    </w:p>
    <w:p w:rsidR="006E3927" w:rsidRPr="00E86386" w:rsidRDefault="006E3927" w:rsidP="00E86386">
      <w:pPr>
        <w:numPr>
          <w:ilvl w:val="0"/>
          <w:numId w:val="9"/>
        </w:numPr>
        <w:spacing w:line="360" w:lineRule="auto"/>
        <w:jc w:val="both"/>
        <w:rPr>
          <w:rFonts w:ascii="Tahoma" w:hAnsi="Tahoma" w:cs="Tahoma"/>
          <w:sz w:val="24"/>
          <w:szCs w:val="24"/>
        </w:rPr>
      </w:pPr>
      <w:r w:rsidRPr="00E86386">
        <w:rPr>
          <w:rFonts w:ascii="Tahoma" w:hAnsi="Tahoma" w:cs="Tahoma"/>
          <w:sz w:val="24"/>
          <w:szCs w:val="24"/>
        </w:rPr>
        <w:t xml:space="preserve">Porcentaje de efectividad de atención de denuncias desde que empezó el equipo de Unidad de Reacción Inmediata </w:t>
      </w:r>
    </w:p>
    <w:p w:rsidR="006E3927" w:rsidRDefault="006E3927" w:rsidP="00E86386">
      <w:pPr>
        <w:rPr>
          <w:rFonts w:ascii="Arial" w:hAnsi="Arial" w:cs="Arial"/>
          <w:sz w:val="24"/>
          <w:szCs w:val="24"/>
        </w:rPr>
      </w:pPr>
      <w:r w:rsidRPr="001B0120">
        <w:rPr>
          <w:rFonts w:ascii="Arial" w:hAnsi="Arial" w:cs="Arial"/>
          <w:noProof/>
          <w:sz w:val="24"/>
          <w:szCs w:val="24"/>
          <w:lang w:eastAsia="es-CO"/>
        </w:rPr>
        <w:drawing>
          <wp:inline distT="0" distB="0" distL="0" distR="0">
            <wp:extent cx="2544445" cy="2131060"/>
            <wp:effectExtent l="19050" t="0" r="8255" b="0"/>
            <wp:docPr id="4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544445" cy="2131060"/>
                    </a:xfrm>
                    <a:prstGeom prst="rect">
                      <a:avLst/>
                    </a:prstGeom>
                    <a:noFill/>
                    <a:ln w="9525">
                      <a:noFill/>
                      <a:miter lim="800000"/>
                      <a:headEnd/>
                      <a:tailEnd/>
                    </a:ln>
                  </pic:spPr>
                </pic:pic>
              </a:graphicData>
            </a:graphic>
          </wp:inline>
        </w:drawing>
      </w:r>
    </w:p>
    <w:p w:rsidR="00E86386" w:rsidRPr="001B0120" w:rsidRDefault="00E86386" w:rsidP="00E86386">
      <w:pPr>
        <w:rPr>
          <w:rFonts w:ascii="Arial" w:hAnsi="Arial" w:cs="Arial"/>
          <w:sz w:val="24"/>
          <w:szCs w:val="24"/>
        </w:rPr>
      </w:pPr>
    </w:p>
    <w:p w:rsidR="006E3927" w:rsidRPr="00E86386" w:rsidRDefault="006E3927" w:rsidP="006E3927">
      <w:pPr>
        <w:spacing w:line="360" w:lineRule="auto"/>
        <w:rPr>
          <w:rFonts w:ascii="Tahoma" w:hAnsi="Tahoma" w:cs="Tahoma"/>
          <w:sz w:val="24"/>
          <w:szCs w:val="24"/>
        </w:rPr>
      </w:pPr>
      <w:r w:rsidRPr="00E86386">
        <w:rPr>
          <w:rFonts w:ascii="Tahoma" w:hAnsi="Tahoma" w:cs="Tahoma"/>
          <w:b/>
          <w:bCs/>
          <w:sz w:val="24"/>
          <w:szCs w:val="24"/>
        </w:rPr>
        <w:lastRenderedPageBreak/>
        <w:t>Con la Unidad de Reacción Inmediata Ambiental - URIA se ha logrado:</w:t>
      </w:r>
    </w:p>
    <w:p w:rsidR="006E3927" w:rsidRPr="00E86386" w:rsidRDefault="006E3927" w:rsidP="006E3927">
      <w:pPr>
        <w:numPr>
          <w:ilvl w:val="0"/>
          <w:numId w:val="10"/>
        </w:numPr>
        <w:spacing w:line="360" w:lineRule="auto"/>
        <w:contextualSpacing/>
        <w:jc w:val="both"/>
        <w:rPr>
          <w:rFonts w:ascii="Tahoma" w:hAnsi="Tahoma" w:cs="Tahoma"/>
          <w:sz w:val="24"/>
          <w:szCs w:val="24"/>
        </w:rPr>
      </w:pPr>
      <w:r w:rsidRPr="00E86386">
        <w:rPr>
          <w:rFonts w:ascii="Tahoma" w:hAnsi="Tahoma" w:cs="Tahoma"/>
          <w:bCs/>
          <w:sz w:val="24"/>
          <w:szCs w:val="24"/>
        </w:rPr>
        <w:t>Aumentar el porcentaje de efectividad en la atención de denuncias de reacción inmediata a un 100%.</w:t>
      </w:r>
    </w:p>
    <w:p w:rsidR="006E3927" w:rsidRPr="00E86386" w:rsidRDefault="006E3927" w:rsidP="006E3927">
      <w:pPr>
        <w:numPr>
          <w:ilvl w:val="0"/>
          <w:numId w:val="10"/>
        </w:numPr>
        <w:spacing w:line="360" w:lineRule="auto"/>
        <w:contextualSpacing/>
        <w:jc w:val="both"/>
        <w:rPr>
          <w:rFonts w:ascii="Tahoma" w:hAnsi="Tahoma" w:cs="Tahoma"/>
          <w:sz w:val="24"/>
          <w:szCs w:val="24"/>
        </w:rPr>
      </w:pPr>
      <w:r w:rsidRPr="00E86386">
        <w:rPr>
          <w:rFonts w:ascii="Tahoma" w:hAnsi="Tahoma" w:cs="Tahoma"/>
          <w:bCs/>
          <w:sz w:val="24"/>
          <w:szCs w:val="24"/>
        </w:rPr>
        <w:t xml:space="preserve">Disminuir el número de denuncias repetitivas sobre el mismo caso, debido a la reacción </w:t>
      </w:r>
      <w:r w:rsidR="00BA3B5A" w:rsidRPr="00E86386">
        <w:rPr>
          <w:rFonts w:ascii="Tahoma" w:hAnsi="Tahoma" w:cs="Tahoma"/>
          <w:bCs/>
          <w:sz w:val="24"/>
          <w:szCs w:val="24"/>
        </w:rPr>
        <w:t xml:space="preserve">inmediata por parte </w:t>
      </w:r>
      <w:r w:rsidRPr="00E86386">
        <w:rPr>
          <w:rFonts w:ascii="Tahoma" w:hAnsi="Tahoma" w:cs="Tahoma"/>
          <w:bCs/>
          <w:sz w:val="24"/>
          <w:szCs w:val="24"/>
        </w:rPr>
        <w:t>de la URIA.</w:t>
      </w:r>
    </w:p>
    <w:p w:rsidR="006E3927" w:rsidRPr="00E86386" w:rsidRDefault="006E3927" w:rsidP="006E3927">
      <w:pPr>
        <w:numPr>
          <w:ilvl w:val="0"/>
          <w:numId w:val="10"/>
        </w:numPr>
        <w:spacing w:line="360" w:lineRule="auto"/>
        <w:contextualSpacing/>
        <w:jc w:val="both"/>
        <w:rPr>
          <w:rFonts w:ascii="Tahoma" w:hAnsi="Tahoma" w:cs="Tahoma"/>
          <w:sz w:val="24"/>
          <w:szCs w:val="24"/>
        </w:rPr>
      </w:pPr>
      <w:r w:rsidRPr="00E86386">
        <w:rPr>
          <w:rFonts w:ascii="Tahoma" w:hAnsi="Tahoma" w:cs="Tahoma"/>
          <w:bCs/>
          <w:sz w:val="24"/>
          <w:szCs w:val="24"/>
        </w:rPr>
        <w:t xml:space="preserve">Aumentar la articulación entre la CRQ y la Policía Ambiental logrando de forma inmediata incautaciones. </w:t>
      </w:r>
    </w:p>
    <w:p w:rsidR="006E3927" w:rsidRPr="00E86386" w:rsidRDefault="006E3927" w:rsidP="006E3927">
      <w:pPr>
        <w:numPr>
          <w:ilvl w:val="0"/>
          <w:numId w:val="10"/>
        </w:numPr>
        <w:spacing w:line="360" w:lineRule="auto"/>
        <w:contextualSpacing/>
        <w:jc w:val="both"/>
        <w:rPr>
          <w:rFonts w:ascii="Tahoma" w:hAnsi="Tahoma" w:cs="Tahoma"/>
          <w:sz w:val="24"/>
          <w:szCs w:val="24"/>
        </w:rPr>
      </w:pPr>
      <w:r w:rsidRPr="00E86386">
        <w:rPr>
          <w:rFonts w:ascii="Tahoma" w:hAnsi="Tahoma" w:cs="Tahoma"/>
          <w:bCs/>
          <w:sz w:val="24"/>
          <w:szCs w:val="24"/>
        </w:rPr>
        <w:t xml:space="preserve">Aumentar la efectiva judicialización, sanción y decomisó producto de denuncias interpuestas por la ciudadanía.  </w:t>
      </w:r>
    </w:p>
    <w:p w:rsidR="006E3927" w:rsidRPr="00E86386" w:rsidRDefault="006E3927" w:rsidP="006E3927">
      <w:pPr>
        <w:numPr>
          <w:ilvl w:val="0"/>
          <w:numId w:val="10"/>
        </w:numPr>
        <w:spacing w:line="360" w:lineRule="auto"/>
        <w:contextualSpacing/>
        <w:jc w:val="both"/>
        <w:rPr>
          <w:rFonts w:ascii="Tahoma" w:hAnsi="Tahoma" w:cs="Tahoma"/>
          <w:sz w:val="24"/>
          <w:szCs w:val="24"/>
        </w:rPr>
      </w:pPr>
      <w:r w:rsidRPr="00E86386">
        <w:rPr>
          <w:rFonts w:ascii="Tahoma" w:hAnsi="Tahoma" w:cs="Tahoma"/>
          <w:sz w:val="24"/>
          <w:szCs w:val="24"/>
        </w:rPr>
        <w:t>Se ha aumentado la credibilidad de los ciudadanos en la respuesta y atención a denuncias por parte de la CRQ.</w:t>
      </w:r>
    </w:p>
    <w:p w:rsidR="006E3927" w:rsidRPr="00E86386" w:rsidRDefault="006E3927" w:rsidP="006E3927">
      <w:pPr>
        <w:numPr>
          <w:ilvl w:val="0"/>
          <w:numId w:val="10"/>
        </w:numPr>
        <w:spacing w:line="360" w:lineRule="auto"/>
        <w:contextualSpacing/>
        <w:jc w:val="both"/>
        <w:rPr>
          <w:rFonts w:ascii="Tahoma" w:hAnsi="Tahoma" w:cs="Tahoma"/>
          <w:sz w:val="24"/>
          <w:szCs w:val="24"/>
        </w:rPr>
      </w:pPr>
      <w:r w:rsidRPr="00E86386">
        <w:rPr>
          <w:rFonts w:ascii="Tahoma" w:hAnsi="Tahoma" w:cs="Tahoma"/>
          <w:sz w:val="24"/>
          <w:szCs w:val="24"/>
        </w:rPr>
        <w:t>Se logro aunar esfuerzos con todos los actores competentes en la atención de impactos ambientales en el municipio de Armenia, este equipo está conformado por el departamento administrativo de Planeación de Armenia, la Policía Ambiental, la UMGERD (Unidad Municipal de Gestión del Riesgo) y el equipo de la URIA de la CRQ.</w:t>
      </w:r>
    </w:p>
    <w:p w:rsidR="006E3927" w:rsidRPr="00E86386" w:rsidRDefault="006E3927" w:rsidP="006E3927">
      <w:pPr>
        <w:spacing w:line="360" w:lineRule="auto"/>
        <w:ind w:left="720"/>
        <w:contextualSpacing/>
        <w:jc w:val="both"/>
        <w:rPr>
          <w:rFonts w:ascii="Tahoma" w:hAnsi="Tahoma" w:cs="Tahoma"/>
          <w:sz w:val="24"/>
          <w:szCs w:val="24"/>
        </w:rPr>
      </w:pPr>
    </w:p>
    <w:p w:rsidR="006E3927" w:rsidRPr="00E86386" w:rsidRDefault="006E3927" w:rsidP="006E3927">
      <w:pPr>
        <w:spacing w:after="0" w:line="360" w:lineRule="auto"/>
        <w:jc w:val="both"/>
        <w:rPr>
          <w:rFonts w:ascii="Tahoma" w:hAnsi="Tahoma" w:cs="Tahoma"/>
          <w:sz w:val="24"/>
          <w:szCs w:val="24"/>
        </w:rPr>
      </w:pPr>
      <w:r w:rsidRPr="00E86386">
        <w:rPr>
          <w:rFonts w:ascii="Tahoma" w:hAnsi="Tahoma" w:cs="Tahoma"/>
          <w:sz w:val="24"/>
          <w:szCs w:val="24"/>
        </w:rPr>
        <w:t>De igual forma se Institucionalizo un procedimiento de respuesta de cierre a las denuncias interpuestas por la ciudadanía en las cuales se registran los datos del denunciante, lo anterior con el fin de mostrar las actuaciones y medidas frente a las actuaciones denunciadas por los mismos.</w:t>
      </w:r>
    </w:p>
    <w:p w:rsidR="006E3927" w:rsidRPr="00E86386" w:rsidRDefault="006E3927" w:rsidP="006E3927">
      <w:pPr>
        <w:spacing w:after="0" w:line="276" w:lineRule="auto"/>
        <w:jc w:val="both"/>
        <w:rPr>
          <w:rFonts w:ascii="Tahoma" w:hAnsi="Tahoma" w:cs="Tahoma"/>
          <w:sz w:val="24"/>
          <w:szCs w:val="24"/>
        </w:rPr>
      </w:pPr>
    </w:p>
    <w:p w:rsidR="008E5C23" w:rsidRPr="00E86386" w:rsidRDefault="008E5C23" w:rsidP="00EB77AA">
      <w:pPr>
        <w:spacing w:after="0" w:line="276" w:lineRule="auto"/>
        <w:jc w:val="both"/>
        <w:rPr>
          <w:rFonts w:ascii="Tahoma" w:hAnsi="Tahoma" w:cs="Tahoma"/>
          <w:sz w:val="16"/>
          <w:szCs w:val="16"/>
        </w:rPr>
      </w:pPr>
    </w:p>
    <w:sectPr w:rsidR="008E5C23" w:rsidRPr="00E86386" w:rsidSect="001D2328">
      <w:headerReference w:type="even" r:id="rId27"/>
      <w:headerReference w:type="default" r:id="rId28"/>
      <w:footerReference w:type="even" r:id="rId29"/>
      <w:footerReference w:type="default" r:id="rId30"/>
      <w:headerReference w:type="first" r:id="rId31"/>
      <w:footerReference w:type="first" r:id="rId3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BB5" w:rsidRDefault="00306BB5" w:rsidP="008448D9">
      <w:pPr>
        <w:spacing w:after="0" w:line="240" w:lineRule="auto"/>
      </w:pPr>
      <w:r>
        <w:separator/>
      </w:r>
    </w:p>
  </w:endnote>
  <w:endnote w:type="continuationSeparator" w:id="0">
    <w:p w:rsidR="00306BB5" w:rsidRDefault="00306BB5" w:rsidP="00844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8D9" w:rsidRDefault="008448D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8D9" w:rsidRDefault="008448D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8D9" w:rsidRDefault="008448D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BB5" w:rsidRDefault="00306BB5" w:rsidP="008448D9">
      <w:pPr>
        <w:spacing w:after="0" w:line="240" w:lineRule="auto"/>
      </w:pPr>
      <w:r>
        <w:separator/>
      </w:r>
    </w:p>
  </w:footnote>
  <w:footnote w:type="continuationSeparator" w:id="0">
    <w:p w:rsidR="00306BB5" w:rsidRDefault="00306BB5" w:rsidP="008448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27" w:rsidRDefault="008F3C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612.25pt;height:11in;z-index:-251653120;mso-position-horizontal:center;mso-position-horizontal-relative:margin;mso-position-vertical:center;mso-position-vertical-relative:margin" o:allowincell="f">
          <v:imagedata r:id="rId1" o:title="CARTA VERTICAL_Mesa de trabajo 1 copi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27" w:rsidRDefault="008F3C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612.25pt;height:11in;z-index:-251652096;mso-position-horizontal:center;mso-position-horizontal-relative:margin;mso-position-vertical:center;mso-position-vertical-relative:margin" o:allowincell="f">
          <v:imagedata r:id="rId1" o:title="CARTA VERTICAL_Mesa de trabajo 1 copi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27" w:rsidRDefault="008F3C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612.25pt;height:11in;z-index:-251654144;mso-position-horizontal:center;mso-position-horizontal-relative:margin;mso-position-vertical:center;mso-position-vertical-relative:margin" o:allowincell="f">
          <v:imagedata r:id="rId1" o:title="CARTA VERTICAL_Mesa de trabajo 1 copia"/>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8D9" w:rsidRDefault="008F3C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666407" o:spid="_x0000_s2053" type="#_x0000_t75" style="position:absolute;margin-left:0;margin-top:0;width:612.25pt;height:11in;z-index:-251657216;mso-position-horizontal:center;mso-position-horizontal-relative:margin;mso-position-vertical:center;mso-position-vertical-relative:margin" o:allowincell="f">
          <v:imagedata r:id="rId1" o:title="CARTA VERTICAL_Mesa de trabajo 1 copia"/>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8D9" w:rsidRDefault="008F3C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666408" o:spid="_x0000_s2054" type="#_x0000_t75" style="position:absolute;margin-left:0;margin-top:0;width:612.25pt;height:11in;z-index:-251656192;mso-position-horizontal:center;mso-position-horizontal-relative:margin;mso-position-vertical:center;mso-position-vertical-relative:margin" o:allowincell="f">
          <v:imagedata r:id="rId1" o:title="CARTA VERTICAL_Mesa de trabajo 1 copia"/>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8D9" w:rsidRDefault="008F3C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666406" o:spid="_x0000_s2052" type="#_x0000_t75" style="position:absolute;margin-left:0;margin-top:0;width:612.25pt;height:11in;z-index:-251658240;mso-position-horizontal:center;mso-position-horizontal-relative:margin;mso-position-vertical:center;mso-position-vertical-relative:margin" o:allowincell="f">
          <v:imagedata r:id="rId1" o:title="CARTA VERTICAL_Mesa de trabajo 1 copi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874A9"/>
    <w:multiLevelType w:val="hybridMultilevel"/>
    <w:tmpl w:val="7EB45A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C2B598B"/>
    <w:multiLevelType w:val="hybridMultilevel"/>
    <w:tmpl w:val="C02E18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ECE0492"/>
    <w:multiLevelType w:val="hybridMultilevel"/>
    <w:tmpl w:val="68E6A5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F146751"/>
    <w:multiLevelType w:val="hybridMultilevel"/>
    <w:tmpl w:val="3920C80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9EE2CAB"/>
    <w:multiLevelType w:val="hybridMultilevel"/>
    <w:tmpl w:val="B36A9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0106AA4"/>
    <w:multiLevelType w:val="hybridMultilevel"/>
    <w:tmpl w:val="B53C646C"/>
    <w:lvl w:ilvl="0" w:tplc="19A420E8">
      <w:start w:val="1"/>
      <w:numFmt w:val="bullet"/>
      <w:lvlText w:val="•"/>
      <w:lvlJc w:val="left"/>
      <w:pPr>
        <w:tabs>
          <w:tab w:val="num" w:pos="720"/>
        </w:tabs>
        <w:ind w:left="720" w:hanging="360"/>
      </w:pPr>
      <w:rPr>
        <w:rFonts w:ascii="Arial" w:hAnsi="Arial" w:hint="default"/>
      </w:rPr>
    </w:lvl>
    <w:lvl w:ilvl="1" w:tplc="B95A537E" w:tentative="1">
      <w:start w:val="1"/>
      <w:numFmt w:val="bullet"/>
      <w:lvlText w:val="•"/>
      <w:lvlJc w:val="left"/>
      <w:pPr>
        <w:tabs>
          <w:tab w:val="num" w:pos="1440"/>
        </w:tabs>
        <w:ind w:left="1440" w:hanging="360"/>
      </w:pPr>
      <w:rPr>
        <w:rFonts w:ascii="Arial" w:hAnsi="Arial" w:hint="default"/>
      </w:rPr>
    </w:lvl>
    <w:lvl w:ilvl="2" w:tplc="7616AEC0" w:tentative="1">
      <w:start w:val="1"/>
      <w:numFmt w:val="bullet"/>
      <w:lvlText w:val="•"/>
      <w:lvlJc w:val="left"/>
      <w:pPr>
        <w:tabs>
          <w:tab w:val="num" w:pos="2160"/>
        </w:tabs>
        <w:ind w:left="2160" w:hanging="360"/>
      </w:pPr>
      <w:rPr>
        <w:rFonts w:ascii="Arial" w:hAnsi="Arial" w:hint="default"/>
      </w:rPr>
    </w:lvl>
    <w:lvl w:ilvl="3" w:tplc="9A24E8EC" w:tentative="1">
      <w:start w:val="1"/>
      <w:numFmt w:val="bullet"/>
      <w:lvlText w:val="•"/>
      <w:lvlJc w:val="left"/>
      <w:pPr>
        <w:tabs>
          <w:tab w:val="num" w:pos="2880"/>
        </w:tabs>
        <w:ind w:left="2880" w:hanging="360"/>
      </w:pPr>
      <w:rPr>
        <w:rFonts w:ascii="Arial" w:hAnsi="Arial" w:hint="default"/>
      </w:rPr>
    </w:lvl>
    <w:lvl w:ilvl="4" w:tplc="31304DD6" w:tentative="1">
      <w:start w:val="1"/>
      <w:numFmt w:val="bullet"/>
      <w:lvlText w:val="•"/>
      <w:lvlJc w:val="left"/>
      <w:pPr>
        <w:tabs>
          <w:tab w:val="num" w:pos="3600"/>
        </w:tabs>
        <w:ind w:left="3600" w:hanging="360"/>
      </w:pPr>
      <w:rPr>
        <w:rFonts w:ascii="Arial" w:hAnsi="Arial" w:hint="default"/>
      </w:rPr>
    </w:lvl>
    <w:lvl w:ilvl="5" w:tplc="9AA2D438" w:tentative="1">
      <w:start w:val="1"/>
      <w:numFmt w:val="bullet"/>
      <w:lvlText w:val="•"/>
      <w:lvlJc w:val="left"/>
      <w:pPr>
        <w:tabs>
          <w:tab w:val="num" w:pos="4320"/>
        </w:tabs>
        <w:ind w:left="4320" w:hanging="360"/>
      </w:pPr>
      <w:rPr>
        <w:rFonts w:ascii="Arial" w:hAnsi="Arial" w:hint="default"/>
      </w:rPr>
    </w:lvl>
    <w:lvl w:ilvl="6" w:tplc="18DAD370" w:tentative="1">
      <w:start w:val="1"/>
      <w:numFmt w:val="bullet"/>
      <w:lvlText w:val="•"/>
      <w:lvlJc w:val="left"/>
      <w:pPr>
        <w:tabs>
          <w:tab w:val="num" w:pos="5040"/>
        </w:tabs>
        <w:ind w:left="5040" w:hanging="360"/>
      </w:pPr>
      <w:rPr>
        <w:rFonts w:ascii="Arial" w:hAnsi="Arial" w:hint="default"/>
      </w:rPr>
    </w:lvl>
    <w:lvl w:ilvl="7" w:tplc="086443AC" w:tentative="1">
      <w:start w:val="1"/>
      <w:numFmt w:val="bullet"/>
      <w:lvlText w:val="•"/>
      <w:lvlJc w:val="left"/>
      <w:pPr>
        <w:tabs>
          <w:tab w:val="num" w:pos="5760"/>
        </w:tabs>
        <w:ind w:left="5760" w:hanging="360"/>
      </w:pPr>
      <w:rPr>
        <w:rFonts w:ascii="Arial" w:hAnsi="Arial" w:hint="default"/>
      </w:rPr>
    </w:lvl>
    <w:lvl w:ilvl="8" w:tplc="7BB8BF58" w:tentative="1">
      <w:start w:val="1"/>
      <w:numFmt w:val="bullet"/>
      <w:lvlText w:val="•"/>
      <w:lvlJc w:val="left"/>
      <w:pPr>
        <w:tabs>
          <w:tab w:val="num" w:pos="6480"/>
        </w:tabs>
        <w:ind w:left="6480" w:hanging="360"/>
      </w:pPr>
      <w:rPr>
        <w:rFonts w:ascii="Arial" w:hAnsi="Arial" w:hint="default"/>
      </w:rPr>
    </w:lvl>
  </w:abstractNum>
  <w:abstractNum w:abstractNumId="6">
    <w:nsid w:val="497F510F"/>
    <w:multiLevelType w:val="hybridMultilevel"/>
    <w:tmpl w:val="78AA8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C801620"/>
    <w:multiLevelType w:val="hybridMultilevel"/>
    <w:tmpl w:val="31D66E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158148B"/>
    <w:multiLevelType w:val="hybridMultilevel"/>
    <w:tmpl w:val="797AB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B5B2EDE"/>
    <w:multiLevelType w:val="hybridMultilevel"/>
    <w:tmpl w:val="74BE3778"/>
    <w:lvl w:ilvl="0" w:tplc="7674CE0E">
      <w:start w:val="1"/>
      <w:numFmt w:val="bullet"/>
      <w:lvlText w:val="•"/>
      <w:lvlJc w:val="left"/>
      <w:pPr>
        <w:tabs>
          <w:tab w:val="num" w:pos="720"/>
        </w:tabs>
        <w:ind w:left="720" w:hanging="360"/>
      </w:pPr>
      <w:rPr>
        <w:rFonts w:ascii="Arial" w:hAnsi="Arial" w:hint="default"/>
      </w:rPr>
    </w:lvl>
    <w:lvl w:ilvl="1" w:tplc="99749B54" w:tentative="1">
      <w:start w:val="1"/>
      <w:numFmt w:val="bullet"/>
      <w:lvlText w:val="•"/>
      <w:lvlJc w:val="left"/>
      <w:pPr>
        <w:tabs>
          <w:tab w:val="num" w:pos="1440"/>
        </w:tabs>
        <w:ind w:left="1440" w:hanging="360"/>
      </w:pPr>
      <w:rPr>
        <w:rFonts w:ascii="Arial" w:hAnsi="Arial" w:hint="default"/>
      </w:rPr>
    </w:lvl>
    <w:lvl w:ilvl="2" w:tplc="4B7E9CC0" w:tentative="1">
      <w:start w:val="1"/>
      <w:numFmt w:val="bullet"/>
      <w:lvlText w:val="•"/>
      <w:lvlJc w:val="left"/>
      <w:pPr>
        <w:tabs>
          <w:tab w:val="num" w:pos="2160"/>
        </w:tabs>
        <w:ind w:left="2160" w:hanging="360"/>
      </w:pPr>
      <w:rPr>
        <w:rFonts w:ascii="Arial" w:hAnsi="Arial" w:hint="default"/>
      </w:rPr>
    </w:lvl>
    <w:lvl w:ilvl="3" w:tplc="D912238E" w:tentative="1">
      <w:start w:val="1"/>
      <w:numFmt w:val="bullet"/>
      <w:lvlText w:val="•"/>
      <w:lvlJc w:val="left"/>
      <w:pPr>
        <w:tabs>
          <w:tab w:val="num" w:pos="2880"/>
        </w:tabs>
        <w:ind w:left="2880" w:hanging="360"/>
      </w:pPr>
      <w:rPr>
        <w:rFonts w:ascii="Arial" w:hAnsi="Arial" w:hint="default"/>
      </w:rPr>
    </w:lvl>
    <w:lvl w:ilvl="4" w:tplc="720A4600" w:tentative="1">
      <w:start w:val="1"/>
      <w:numFmt w:val="bullet"/>
      <w:lvlText w:val="•"/>
      <w:lvlJc w:val="left"/>
      <w:pPr>
        <w:tabs>
          <w:tab w:val="num" w:pos="3600"/>
        </w:tabs>
        <w:ind w:left="3600" w:hanging="360"/>
      </w:pPr>
      <w:rPr>
        <w:rFonts w:ascii="Arial" w:hAnsi="Arial" w:hint="default"/>
      </w:rPr>
    </w:lvl>
    <w:lvl w:ilvl="5" w:tplc="CB482D10" w:tentative="1">
      <w:start w:val="1"/>
      <w:numFmt w:val="bullet"/>
      <w:lvlText w:val="•"/>
      <w:lvlJc w:val="left"/>
      <w:pPr>
        <w:tabs>
          <w:tab w:val="num" w:pos="4320"/>
        </w:tabs>
        <w:ind w:left="4320" w:hanging="360"/>
      </w:pPr>
      <w:rPr>
        <w:rFonts w:ascii="Arial" w:hAnsi="Arial" w:hint="default"/>
      </w:rPr>
    </w:lvl>
    <w:lvl w:ilvl="6" w:tplc="43A43BBC" w:tentative="1">
      <w:start w:val="1"/>
      <w:numFmt w:val="bullet"/>
      <w:lvlText w:val="•"/>
      <w:lvlJc w:val="left"/>
      <w:pPr>
        <w:tabs>
          <w:tab w:val="num" w:pos="5040"/>
        </w:tabs>
        <w:ind w:left="5040" w:hanging="360"/>
      </w:pPr>
      <w:rPr>
        <w:rFonts w:ascii="Arial" w:hAnsi="Arial" w:hint="default"/>
      </w:rPr>
    </w:lvl>
    <w:lvl w:ilvl="7" w:tplc="0338D770" w:tentative="1">
      <w:start w:val="1"/>
      <w:numFmt w:val="bullet"/>
      <w:lvlText w:val="•"/>
      <w:lvlJc w:val="left"/>
      <w:pPr>
        <w:tabs>
          <w:tab w:val="num" w:pos="5760"/>
        </w:tabs>
        <w:ind w:left="5760" w:hanging="360"/>
      </w:pPr>
      <w:rPr>
        <w:rFonts w:ascii="Arial" w:hAnsi="Arial" w:hint="default"/>
      </w:rPr>
    </w:lvl>
    <w:lvl w:ilvl="8" w:tplc="8048B36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7"/>
  </w:num>
  <w:num w:numId="4">
    <w:abstractNumId w:val="3"/>
  </w:num>
  <w:num w:numId="5">
    <w:abstractNumId w:val="4"/>
  </w:num>
  <w:num w:numId="6">
    <w:abstractNumId w:val="6"/>
  </w:num>
  <w:num w:numId="7">
    <w:abstractNumId w:val="8"/>
  </w:num>
  <w:num w:numId="8">
    <w:abstractNumId w:val="5"/>
  </w:num>
  <w:num w:numId="9">
    <w:abstractNumId w:val="9"/>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8448D9"/>
    <w:rsid w:val="0000091C"/>
    <w:rsid w:val="00024620"/>
    <w:rsid w:val="00080A92"/>
    <w:rsid w:val="00082879"/>
    <w:rsid w:val="000B2194"/>
    <w:rsid w:val="000C2C14"/>
    <w:rsid w:val="000E7C12"/>
    <w:rsid w:val="0010366A"/>
    <w:rsid w:val="00130ACC"/>
    <w:rsid w:val="00141360"/>
    <w:rsid w:val="001929A7"/>
    <w:rsid w:val="001B7109"/>
    <w:rsid w:val="001D2328"/>
    <w:rsid w:val="002C0A75"/>
    <w:rsid w:val="002D6682"/>
    <w:rsid w:val="00306BB5"/>
    <w:rsid w:val="00345BDE"/>
    <w:rsid w:val="003550E1"/>
    <w:rsid w:val="004116BF"/>
    <w:rsid w:val="00417D81"/>
    <w:rsid w:val="00442BC2"/>
    <w:rsid w:val="00491E7F"/>
    <w:rsid w:val="00493832"/>
    <w:rsid w:val="004C0475"/>
    <w:rsid w:val="004C4CDD"/>
    <w:rsid w:val="004E1AB4"/>
    <w:rsid w:val="005A7918"/>
    <w:rsid w:val="006126DC"/>
    <w:rsid w:val="006260FE"/>
    <w:rsid w:val="006E3927"/>
    <w:rsid w:val="006E46D9"/>
    <w:rsid w:val="006E67B3"/>
    <w:rsid w:val="006F10CE"/>
    <w:rsid w:val="00705B8B"/>
    <w:rsid w:val="007669D7"/>
    <w:rsid w:val="007C2648"/>
    <w:rsid w:val="007C542D"/>
    <w:rsid w:val="00800B1D"/>
    <w:rsid w:val="0080270D"/>
    <w:rsid w:val="008448D9"/>
    <w:rsid w:val="00885DE8"/>
    <w:rsid w:val="008B1AF5"/>
    <w:rsid w:val="008C47F7"/>
    <w:rsid w:val="008E5C23"/>
    <w:rsid w:val="008F3CF5"/>
    <w:rsid w:val="009320F5"/>
    <w:rsid w:val="00932C94"/>
    <w:rsid w:val="00934DC1"/>
    <w:rsid w:val="00952D79"/>
    <w:rsid w:val="00955A16"/>
    <w:rsid w:val="009672A0"/>
    <w:rsid w:val="009A061F"/>
    <w:rsid w:val="009A59C6"/>
    <w:rsid w:val="009B2AE2"/>
    <w:rsid w:val="009D42EF"/>
    <w:rsid w:val="00A07CAD"/>
    <w:rsid w:val="00A13A08"/>
    <w:rsid w:val="00A35E3D"/>
    <w:rsid w:val="00A47C58"/>
    <w:rsid w:val="00A61EE2"/>
    <w:rsid w:val="00AA1209"/>
    <w:rsid w:val="00AC1725"/>
    <w:rsid w:val="00AC4A9B"/>
    <w:rsid w:val="00AF13D6"/>
    <w:rsid w:val="00BA3B5A"/>
    <w:rsid w:val="00BB7E0A"/>
    <w:rsid w:val="00C21423"/>
    <w:rsid w:val="00C81BCC"/>
    <w:rsid w:val="00C9038E"/>
    <w:rsid w:val="00CC6699"/>
    <w:rsid w:val="00CD0E1E"/>
    <w:rsid w:val="00CD6263"/>
    <w:rsid w:val="00D05FDB"/>
    <w:rsid w:val="00D76758"/>
    <w:rsid w:val="00D82CD0"/>
    <w:rsid w:val="00DB769B"/>
    <w:rsid w:val="00DC356C"/>
    <w:rsid w:val="00DF4F9F"/>
    <w:rsid w:val="00E60EA5"/>
    <w:rsid w:val="00E8444C"/>
    <w:rsid w:val="00E86386"/>
    <w:rsid w:val="00EB77AA"/>
    <w:rsid w:val="00F209EE"/>
    <w:rsid w:val="00F24CFA"/>
    <w:rsid w:val="00F73708"/>
    <w:rsid w:val="00F76B5B"/>
    <w:rsid w:val="00FA1949"/>
    <w:rsid w:val="00FB5DD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32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8448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48D9"/>
  </w:style>
  <w:style w:type="paragraph" w:styleId="Piedepgina">
    <w:name w:val="footer"/>
    <w:basedOn w:val="Normal"/>
    <w:link w:val="PiedepginaCar"/>
    <w:uiPriority w:val="99"/>
    <w:unhideWhenUsed/>
    <w:rsid w:val="008448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48D9"/>
  </w:style>
  <w:style w:type="character" w:styleId="Hipervnculo">
    <w:name w:val="Hyperlink"/>
    <w:basedOn w:val="Fuentedeprrafopredeter"/>
    <w:uiPriority w:val="99"/>
    <w:unhideWhenUsed/>
    <w:rsid w:val="00A07CAD"/>
    <w:rPr>
      <w:color w:val="0563C1" w:themeColor="hyperlink"/>
      <w:u w:val="single"/>
    </w:rPr>
  </w:style>
  <w:style w:type="paragraph" w:styleId="Sinespaciado">
    <w:name w:val="No Spacing"/>
    <w:uiPriority w:val="1"/>
    <w:qFormat/>
    <w:rsid w:val="00C21423"/>
    <w:pPr>
      <w:spacing w:after="0" w:line="240" w:lineRule="auto"/>
    </w:pPr>
  </w:style>
  <w:style w:type="paragraph" w:styleId="Prrafodelista">
    <w:name w:val="List Paragraph"/>
    <w:basedOn w:val="Normal"/>
    <w:uiPriority w:val="34"/>
    <w:qFormat/>
    <w:rsid w:val="00A61EE2"/>
    <w:pPr>
      <w:ind w:left="720"/>
      <w:contextualSpacing/>
    </w:pPr>
  </w:style>
  <w:style w:type="paragraph" w:styleId="Textodeglobo">
    <w:name w:val="Balloon Text"/>
    <w:basedOn w:val="Normal"/>
    <w:link w:val="TextodegloboCar"/>
    <w:uiPriority w:val="99"/>
    <w:semiHidden/>
    <w:unhideWhenUsed/>
    <w:rsid w:val="007C54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54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Cristian%20Paez\Desktop\INFORME%20CONCEJO%20DIRECTIVO%20al%2027%20de%20septiembr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ristian%20Paez\Desktop\INFORME%20CONCEJO%20DIRECTIVO%20al%2027%20de%20septiembr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novo\Desktop\INFORME%20CONCEJO%20DIRECTIVO.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40"/>
  <c:clrMapOvr bg1="lt1" tx1="dk1" bg2="lt2" tx2="dk2" accent1="accent1" accent2="accent2" accent3="accent3" accent4="accent4" accent5="accent5" accent6="accent6" hlink="hlink" folHlink="folHlink"/>
  <c:chart>
    <c:autoTitleDeleted val="1"/>
    <c:view3D>
      <c:rAngAx val="1"/>
    </c:view3D>
    <c:floor>
      <c:spPr>
        <a:noFill/>
        <a:ln w="6350">
          <a:noFill/>
        </a:ln>
      </c:spPr>
    </c:floor>
    <c:sideWall>
      <c:spPr>
        <a:noFill/>
      </c:spPr>
    </c:sideWall>
    <c:backWall>
      <c:spPr>
        <a:noFill/>
        <a:ln w="25400">
          <a:noFill/>
        </a:ln>
      </c:spPr>
    </c:backWall>
    <c:plotArea>
      <c:layout/>
      <c:bar3DChart>
        <c:barDir val="col"/>
        <c:grouping val="clustered"/>
        <c:ser>
          <c:idx val="0"/>
          <c:order val="0"/>
          <c:spPr>
            <a:solidFill>
              <a:srgbClr val="92D050"/>
            </a:solidFill>
            <a:effectLst>
              <a:outerShdw blurRad="63500" sx="102000" sy="102000" algn="ctr" rotWithShape="0">
                <a:prstClr val="black">
                  <a:alpha val="40000"/>
                </a:prstClr>
              </a:outerShdw>
            </a:effectLst>
            <a:scene3d>
              <a:camera prst="orthographicFront"/>
              <a:lightRig rig="threePt" dir="t"/>
            </a:scene3d>
            <a:sp3d>
              <a:bevelT/>
              <a:contourClr>
                <a:srgbClr val="000000"/>
              </a:contourClr>
            </a:sp3d>
          </c:spPr>
          <c:dLbls>
            <c:spPr>
              <a:noFill/>
              <a:ln>
                <a:noFill/>
              </a:ln>
              <a:effectLst/>
            </c:spPr>
            <c:txPr>
              <a:bodyPr/>
              <a:lstStyle/>
              <a:p>
                <a:pPr>
                  <a:defRPr sz="1600" b="1"/>
                </a:pPr>
                <a:endParaRPr lang="es-CO"/>
              </a:p>
            </c:txPr>
            <c:showVal val="1"/>
            <c:extLst xmlns:c16r2="http://schemas.microsoft.com/office/drawing/2015/06/chart">
              <c:ext xmlns:c15="http://schemas.microsoft.com/office/drawing/2012/chart" uri="{CE6537A1-D6FC-4f65-9D91-7224C49458BB}">
                <c15:showLeaderLines val="0"/>
              </c:ext>
            </c:extLst>
          </c:dLbls>
          <c:cat>
            <c:strRef>
              <c:f>'DENUNCIAS RECIBIDAS'!$A$3:$A$15</c:f>
              <c:strCache>
                <c:ptCount val="13"/>
                <c:pt idx="0">
                  <c:v>FORESTAL       44%</c:v>
                </c:pt>
                <c:pt idx="1">
                  <c:v>FAUNA SILVESTRE      19%</c:v>
                </c:pt>
                <c:pt idx="2">
                  <c:v>VERTIMIENTOS       9%</c:v>
                </c:pt>
                <c:pt idx="3">
                  <c:v>ESPECIES INVASORA        7%</c:v>
                </c:pt>
                <c:pt idx="4">
                  <c:v>CARACOL AFRICANO       7%</c:v>
                </c:pt>
                <c:pt idx="5">
                  <c:v>RECIDUOS SOLIDOS PELIGROSO       4%</c:v>
                </c:pt>
                <c:pt idx="6">
                  <c:v>EMISIONES ADMOSFERICAS        3%</c:v>
                </c:pt>
                <c:pt idx="7">
                  <c:v>PORCICOLAS        3%</c:v>
                </c:pt>
                <c:pt idx="8">
                  <c:v>MINERAS        1%</c:v>
                </c:pt>
                <c:pt idx="9">
                  <c:v>AVICOLAS       1%</c:v>
                </c:pt>
                <c:pt idx="10">
                  <c:v>OCUPACION Y CONCESION DE AGUA        1%</c:v>
                </c:pt>
                <c:pt idx="11">
                  <c:v>RIESGOS        1%</c:v>
                </c:pt>
                <c:pt idx="12">
                  <c:v>OLORES       1%</c:v>
                </c:pt>
              </c:strCache>
            </c:strRef>
          </c:cat>
          <c:val>
            <c:numRef>
              <c:f>'DENUNCIAS RECIBIDAS'!$B$3:$B$15</c:f>
              <c:numCache>
                <c:formatCode>General</c:formatCode>
                <c:ptCount val="13"/>
                <c:pt idx="0">
                  <c:v>423</c:v>
                </c:pt>
                <c:pt idx="1">
                  <c:v>179</c:v>
                </c:pt>
                <c:pt idx="2">
                  <c:v>90</c:v>
                </c:pt>
                <c:pt idx="3">
                  <c:v>65</c:v>
                </c:pt>
                <c:pt idx="4">
                  <c:v>67</c:v>
                </c:pt>
                <c:pt idx="5">
                  <c:v>38</c:v>
                </c:pt>
                <c:pt idx="6">
                  <c:v>32</c:v>
                </c:pt>
                <c:pt idx="7">
                  <c:v>25</c:v>
                </c:pt>
                <c:pt idx="8">
                  <c:v>11</c:v>
                </c:pt>
                <c:pt idx="9">
                  <c:v>7</c:v>
                </c:pt>
                <c:pt idx="10">
                  <c:v>6</c:v>
                </c:pt>
                <c:pt idx="11">
                  <c:v>11</c:v>
                </c:pt>
                <c:pt idx="12">
                  <c:v>5</c:v>
                </c:pt>
              </c:numCache>
            </c:numRef>
          </c:val>
          <c:extLst xmlns:c16r2="http://schemas.microsoft.com/office/drawing/2015/06/chart">
            <c:ext xmlns:c16="http://schemas.microsoft.com/office/drawing/2014/chart" uri="{C3380CC4-5D6E-409C-BE32-E72D297353CC}">
              <c16:uniqueId val="{00000000-FC73-456E-8321-76E31BEA32B8}"/>
            </c:ext>
          </c:extLst>
        </c:ser>
        <c:dLbls>
          <c:showVal val="1"/>
        </c:dLbls>
        <c:gapWidth val="75"/>
        <c:shape val="cylinder"/>
        <c:axId val="88173568"/>
        <c:axId val="88499712"/>
        <c:axId val="0"/>
      </c:bar3DChart>
      <c:catAx>
        <c:axId val="88173568"/>
        <c:scaling>
          <c:orientation val="minMax"/>
        </c:scaling>
        <c:axPos val="b"/>
        <c:title>
          <c:tx>
            <c:rich>
              <a:bodyPr/>
              <a:lstStyle/>
              <a:p>
                <a:pPr>
                  <a:defRPr sz="1400"/>
                </a:pPr>
                <a:r>
                  <a:rPr lang="es-CO" sz="1400"/>
                  <a:t>Tipos</a:t>
                </a:r>
                <a:r>
                  <a:rPr lang="es-CO" sz="1400" baseline="0"/>
                  <a:t> de Denuncia</a:t>
                </a:r>
                <a:endParaRPr lang="es-CO" sz="1400"/>
              </a:p>
            </c:rich>
          </c:tx>
        </c:title>
        <c:numFmt formatCode="General" sourceLinked="0"/>
        <c:majorTickMark val="none"/>
        <c:tickLblPos val="nextTo"/>
        <c:txPr>
          <a:bodyPr/>
          <a:lstStyle/>
          <a:p>
            <a:pPr>
              <a:defRPr sz="1050" b="1"/>
            </a:pPr>
            <a:endParaRPr lang="es-CO"/>
          </a:p>
        </c:txPr>
        <c:crossAx val="88499712"/>
        <c:crosses val="autoZero"/>
        <c:auto val="1"/>
        <c:lblAlgn val="ctr"/>
        <c:lblOffset val="100"/>
      </c:catAx>
      <c:valAx>
        <c:axId val="88499712"/>
        <c:scaling>
          <c:orientation val="minMax"/>
        </c:scaling>
        <c:axPos val="l"/>
        <c:title>
          <c:tx>
            <c:rich>
              <a:bodyPr rot="-5400000" vert="horz"/>
              <a:lstStyle/>
              <a:p>
                <a:pPr>
                  <a:defRPr/>
                </a:pPr>
                <a:r>
                  <a:rPr lang="es-CO" sz="1200" b="1"/>
                  <a:t>Numero</a:t>
                </a:r>
                <a:r>
                  <a:rPr lang="es-CO" sz="1200" b="1" baseline="0"/>
                  <a:t> de Denuncias</a:t>
                </a:r>
                <a:endParaRPr lang="es-CO" sz="1200" b="1"/>
              </a:p>
            </c:rich>
          </c:tx>
          <c:layout>
            <c:manualLayout>
              <c:xMode val="edge"/>
              <c:yMode val="edge"/>
              <c:x val="3.234578370011449E-2"/>
              <c:y val="0.14896360199437017"/>
            </c:manualLayout>
          </c:layout>
        </c:title>
        <c:numFmt formatCode="General" sourceLinked="1"/>
        <c:majorTickMark val="none"/>
        <c:tickLblPos val="nextTo"/>
        <c:txPr>
          <a:bodyPr/>
          <a:lstStyle/>
          <a:p>
            <a:pPr>
              <a:defRPr b="1"/>
            </a:pPr>
            <a:endParaRPr lang="es-CO"/>
          </a:p>
        </c:txPr>
        <c:crossAx val="88173568"/>
        <c:crosses val="autoZero"/>
        <c:crossBetween val="between"/>
      </c:valAx>
      <c:spPr>
        <a:ln w="25400">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s-ES"/>
              <a:t>DENUNCIAS</a:t>
            </a:r>
          </a:p>
        </c:rich>
      </c:tx>
      <c:spPr>
        <a:noFill/>
        <a:ln>
          <a:noFill/>
        </a:ln>
        <a:effectLst/>
      </c:spPr>
    </c:title>
    <c:plotArea>
      <c:layout>
        <c:manualLayout>
          <c:layoutTarget val="inner"/>
          <c:xMode val="edge"/>
          <c:yMode val="edge"/>
          <c:x val="7.0538616183615413E-2"/>
          <c:y val="0.25408938466025088"/>
          <c:w val="0.48422907242977598"/>
          <c:h val="0.63218795567220754"/>
        </c:manualLayout>
      </c:layout>
      <c:doughnutChart>
        <c:varyColors val="1"/>
        <c:ser>
          <c:idx val="0"/>
          <c:order val="0"/>
          <c:dPt>
            <c:idx val="0"/>
            <c:spPr>
              <a:solidFill>
                <a:srgbClr val="47F03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69B-47A8-9BCA-995524BCB0E3}"/>
              </c:ext>
            </c:extLst>
          </c:dPt>
          <c:dPt>
            <c:idx val="1"/>
            <c:spPr>
              <a:solidFill>
                <a:srgbClr val="FFC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69B-47A8-9BCA-995524BCB0E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Hoja2!$A$3:$A$4</c:f>
              <c:strCache>
                <c:ptCount val="2"/>
                <c:pt idx="0">
                  <c:v>URBANO</c:v>
                </c:pt>
                <c:pt idx="1">
                  <c:v>RURAL</c:v>
                </c:pt>
              </c:strCache>
            </c:strRef>
          </c:cat>
          <c:val>
            <c:numRef>
              <c:f>Hoja2!$B$3:$B$4</c:f>
              <c:numCache>
                <c:formatCode>General</c:formatCode>
                <c:ptCount val="2"/>
                <c:pt idx="0">
                  <c:v>263</c:v>
                </c:pt>
                <c:pt idx="1">
                  <c:v>337</c:v>
                </c:pt>
              </c:numCache>
            </c:numRef>
          </c:val>
          <c:extLst xmlns:c16r2="http://schemas.microsoft.com/office/drawing/2015/06/chart">
            <c:ext xmlns:c16="http://schemas.microsoft.com/office/drawing/2014/chart" uri="{C3380CC4-5D6E-409C-BE32-E72D297353CC}">
              <c16:uniqueId val="{00000004-669B-47A8-9BCA-995524BCB0E3}"/>
            </c:ext>
          </c:extLst>
        </c:ser>
        <c:dLbls>
          <c:showPercent val="1"/>
        </c:dLbls>
        <c:firstSliceAng val="0"/>
        <c:holeSize val="50"/>
      </c:doughnutChart>
      <c:spPr>
        <a:noFill/>
        <a:ln>
          <a:noFill/>
        </a:ln>
        <a:effectLst/>
      </c:spPr>
    </c:plotArea>
    <c:legend>
      <c:legendPos val="r"/>
      <c:layout>
        <c:manualLayout>
          <c:xMode val="edge"/>
          <c:yMode val="edge"/>
          <c:x val="0.65633467359133613"/>
          <c:y val="0.22042760279964987"/>
          <c:w val="0.24088764170436144"/>
          <c:h val="0.27662146398367116"/>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JUDICIALIZACIONES</a:t>
            </a:r>
          </a:p>
        </c:rich>
      </c:tx>
      <c:spPr>
        <a:noFill/>
        <a:ln>
          <a:noFill/>
        </a:ln>
        <a:effectLst/>
      </c:spPr>
    </c:title>
    <c:plotArea>
      <c:layout>
        <c:manualLayout>
          <c:layoutTarget val="inner"/>
          <c:xMode val="edge"/>
          <c:yMode val="edge"/>
          <c:x val="3.1763282390802679E-2"/>
          <c:y val="0.13401516805451055"/>
          <c:w val="0.56626379966994356"/>
          <c:h val="0.81519414978594096"/>
        </c:manualLayout>
      </c:layout>
      <c:doughnutChart>
        <c:varyColors val="1"/>
        <c:ser>
          <c:idx val="0"/>
          <c:order val="0"/>
          <c:dPt>
            <c:idx val="0"/>
            <c:spPr>
              <a:solidFill>
                <a:srgbClr val="28E03A"/>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02B-4536-B7A9-2E215B988448}"/>
              </c:ext>
            </c:extLst>
          </c:dPt>
          <c:dPt>
            <c:idx val="1"/>
            <c:spPr>
              <a:solidFill>
                <a:srgbClr val="FFC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02B-4536-B7A9-2E215B988448}"/>
              </c:ext>
            </c:extLst>
          </c:dPt>
          <c:dPt>
            <c:idx val="2"/>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02B-4536-B7A9-2E215B9884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Hoja2!$H$3:$H$5</c:f>
              <c:strCache>
                <c:ptCount val="3"/>
                <c:pt idx="0">
                  <c:v>FORESTAL 12</c:v>
                </c:pt>
                <c:pt idx="1">
                  <c:v>MINERIA 4</c:v>
                </c:pt>
                <c:pt idx="2">
                  <c:v>FAUNA SILVESTRE 2</c:v>
                </c:pt>
              </c:strCache>
            </c:strRef>
          </c:cat>
          <c:val>
            <c:numRef>
              <c:f>Hoja2!$I$3:$I$5</c:f>
              <c:numCache>
                <c:formatCode>General</c:formatCode>
                <c:ptCount val="3"/>
                <c:pt idx="0">
                  <c:v>12</c:v>
                </c:pt>
                <c:pt idx="1">
                  <c:v>4</c:v>
                </c:pt>
                <c:pt idx="2">
                  <c:v>2</c:v>
                </c:pt>
              </c:numCache>
            </c:numRef>
          </c:val>
          <c:extLst xmlns:c16r2="http://schemas.microsoft.com/office/drawing/2015/06/chart">
            <c:ext xmlns:c16="http://schemas.microsoft.com/office/drawing/2014/chart" uri="{C3380CC4-5D6E-409C-BE32-E72D297353CC}">
              <c16:uniqueId val="{00000006-D02B-4536-B7A9-2E215B988448}"/>
            </c:ext>
          </c:extLst>
        </c:ser>
        <c:dLbls>
          <c:showPercent val="1"/>
        </c:dLbls>
        <c:firstSliceAng val="0"/>
        <c:holeSize val="50"/>
      </c:doughnutChart>
      <c:spPr>
        <a:noFill/>
        <a:ln>
          <a:noFill/>
        </a:ln>
        <a:effectLst/>
      </c:spPr>
    </c:plotArea>
    <c:legend>
      <c:legendPos val="r"/>
      <c:layout>
        <c:manualLayout>
          <c:xMode val="edge"/>
          <c:yMode val="edge"/>
          <c:x val="0.64218944294943436"/>
          <c:y val="0.20004956696834739"/>
          <c:w val="0.33065605825948996"/>
          <c:h val="0.35832889677692065"/>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968</TotalTime>
  <Pages>12</Pages>
  <Words>1143</Words>
  <Characters>6291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7420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Cristian Paez</cp:lastModifiedBy>
  <cp:revision>9</cp:revision>
  <dcterms:created xsi:type="dcterms:W3CDTF">2020-10-06T22:44:00Z</dcterms:created>
  <dcterms:modified xsi:type="dcterms:W3CDTF">2020-10-07T18:26:00Z</dcterms:modified>
</cp:coreProperties>
</file>